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800"/>
      </w:pPr>
    </w:p>
    <w:p>
      <w:pPr>
        <w:spacing w:after="80"/>
        <w:jc w:val="center"/>
      </w:pPr>
      <w:r>
        <w:rPr>
          <w:rFonts w:ascii="Calibri" w:cs="Calibri" w:eastAsia="Calibri" w:hAnsi="Calibri"/>
          <w:b/>
          <w:bCs/>
          <w:caps/>
          <w:color w:val="0EA5E9"/>
          <w:sz w:val="22"/>
          <w:szCs w:val="22"/>
        </w:rPr>
        <w:t xml:space="preserve">MALANG CRITICAL CARE &amp; EMERGENCY 2026</w:t>
      </w:r>
    </w:p>
    <w:p>
      <w:pPr>
        <w:spacing w:after="40"/>
        <w:jc w:val="center"/>
      </w:pPr>
      <w:r>
        <w:rPr>
          <w:rFonts w:ascii="Calibri" w:cs="Calibri" w:eastAsia="Calibri" w:hAnsi="Calibri"/>
          <w:color w:val="475569"/>
          <w:sz w:val="20"/>
          <w:szCs w:val="20"/>
        </w:rPr>
        <w:t xml:space="preserve">Symposium — 5 Desember 2026 · Hotel Savana, Malang</w:t>
      </w:r>
    </w:p>
    <w:p>
      <w:pPr>
        <w:spacing w:after="600"/>
      </w:pPr>
    </w:p>
    <w:p>
      <w:pPr>
        <w:spacing w:after="200"/>
        <w:jc w:val="center"/>
      </w:pPr>
      <w:r>
        <w:rPr>
          <w:rFonts w:ascii="Calibri" w:cs="Calibri" w:eastAsia="Calibri" w:hAnsi="Calibri"/>
          <w:b/>
          <w:bCs/>
          <w:color w:val="0F172A"/>
          <w:sz w:val="56"/>
          <w:szCs w:val="56"/>
        </w:rPr>
        <w:t xml:space="preserve">MECHANICAL POWER IN ARDS</w:t>
      </w:r>
    </w:p>
    <w:p>
      <w:pPr>
        <w:spacing w:after="500"/>
        <w:jc w:val="center"/>
      </w:pPr>
      <w:r>
        <w:rPr>
          <w:rFonts w:ascii="Calibri" w:cs="Calibri" w:eastAsia="Calibri" w:hAnsi="Calibri"/>
          <w:b/>
          <w:bCs/>
          <w:color w:val="4F46E5"/>
          <w:sz w:val="40"/>
          <w:szCs w:val="40"/>
        </w:rPr>
        <w:t xml:space="preserve">Impact and Optimization</w:t>
      </w:r>
    </w:p>
    <w:p>
      <w:pPr>
        <w:spacing w:after="200"/>
      </w:pPr>
    </w:p>
    <w:tbl>
      <w:tblPr>
        <w:tblW w:type="pct" w:w="70%"/>
        <w:jc w:val="center"/>
        <w:tblBorders>
          <w:top w:val="single" w:color="E2E8F0" w:sz="4"/>
          <w:left w:val="single" w:color="E2E8F0" w:sz="4"/>
          <w:bottom w:val="single" w:color="E2E8F0" w:sz="4"/>
          <w:right w:val="single" w:color="E2E8F0" w:sz="4"/>
          <w:insideH w:val="none" w:color="FFFFFF" w:sz="0"/>
          <w:insideV w:val="none" w:color="FFFFFF" w:sz="0"/>
        </w:tblBorders>
      </w:tblPr>
      <w:tblGrid>
        <w:gridCol w:w="6500"/>
      </w:tblGrid>
      <w:tr>
        <w:tc>
          <w:tcPr>
            <w:tcW w:type="dxa" w:w="6500"/>
            <w:shd w:fill="F8FAFC" w:color="auto" w:val="clear"/>
            <w:tcMar>
              <w:top w:type="dxa" w:w="260"/>
              <w:left w:type="dxa" w:w="340"/>
              <w:bottom w:type="dxa" w:w="260"/>
              <w:right w:type="dxa" w:w="340"/>
            </w:tcMar>
          </w:tcPr>
          <w:p>
            <w:pPr>
              <w:spacing w:after="60"/>
              <w:jc w:val="center"/>
            </w:pPr>
            <w:r>
              <w:rPr>
                <w:rFonts w:ascii="Calibri" w:cs="Calibri" w:eastAsia="Calibri" w:hAnsi="Calibri"/>
                <w:color w:val="475569"/>
                <w:sz w:val="18"/>
                <w:szCs w:val="18"/>
              </w:rPr>
              <w:t xml:space="preserve">Pembicara</w:t>
            </w:r>
          </w:p>
          <w:p>
            <w:pPr>
              <w:spacing w:after="180"/>
              <w:jc w:val="center"/>
            </w:pPr>
            <w:r>
              <w:rPr>
                <w:rFonts w:ascii="Calibri" w:cs="Calibri" w:eastAsia="Calibri" w:hAnsi="Calibri"/>
                <w:b/>
                <w:bCs/>
                <w:color w:val="0F172A"/>
                <w:sz w:val="24"/>
                <w:szCs w:val="24"/>
              </w:rPr>
              <w:t xml:space="preserve">dr. Ramacandra Rakhmatullah, Sp.An-TI., Subsp.T.I.(K)</w:t>
            </w:r>
          </w:p>
          <w:p>
            <w:pPr>
              <w:spacing w:after="60"/>
              <w:jc w:val="center"/>
            </w:pPr>
            <w:r>
              <w:rPr>
                <w:rFonts w:ascii="Calibri" w:cs="Calibri" w:eastAsia="Calibri" w:hAnsi="Calibri"/>
                <w:color w:val="475569"/>
                <w:sz w:val="18"/>
                <w:szCs w:val="18"/>
              </w:rPr>
              <w:t xml:space="preserve">Tema Simposium</w:t>
            </w:r>
          </w:p>
          <w:p>
            <w:pPr>
              <w:jc w:val="center"/>
            </w:pPr>
            <w:r>
              <w:rPr>
                <w:rFonts w:ascii="Calibri" w:cs="Calibri" w:eastAsia="Calibri" w:hAnsi="Calibri"/>
                <w:i/>
                <w:iCs/>
                <w:color w:val="0F172A"/>
                <w:sz w:val="22"/>
                <w:szCs w:val="22"/>
              </w:rPr>
              <w:t xml:space="preserve">“Collaboration in Critical Care for a Better Future”</w:t>
            </w:r>
          </w:p>
        </w:tc>
      </w:tr>
    </w:tbl>
    <w:p>
      <w:r>
        <w:br w:type="page"/>
      </w:r>
    </w:p>
    <w:p>
      <w:pPr>
        <w:pStyle w:val="Heading1"/>
        <w:spacing w:after="280"/>
      </w:pPr>
      <w:r>
        <w:rPr>
          <w:rFonts w:ascii="Calibri" w:cs="Calibri" w:eastAsia="Calibri" w:hAnsi="Calibri"/>
          <w:b/>
          <w:bCs/>
          <w:color w:val="0F172A"/>
          <w:sz w:val="32"/>
          <w:szCs w:val="32"/>
        </w:rPr>
        <w:t xml:space="preserve">Daftar Isi</w:t>
      </w:r>
    </w:p>
    <w:p>
      <w:pPr>
        <w:tabs>
          <w:tab w:val="right" w:pos="9026" w:leader="dot"/>
        </w:tabs>
        <w:spacing w:after="140"/>
      </w:pPr>
      <w:r>
        <w:rPr>
          <w:rFonts w:ascii="Calibri" w:cs="Calibri" w:eastAsia="Calibri" w:hAnsi="Calibri"/>
          <w:b/>
          <w:bCs/>
          <w:color w:val="4F46E5"/>
          <w:sz w:val="22"/>
          <w:szCs w:val="22"/>
        </w:rPr>
        <w:t xml:space="preserve">1.  </w:t>
      </w:r>
      <w:r>
        <w:rPr>
          <w:rFonts w:ascii="Calibri" w:cs="Calibri" w:eastAsia="Calibri" w:hAnsi="Calibri"/>
          <w:color w:val="0F172A"/>
          <w:sz w:val="22"/>
          <w:szCs w:val="22"/>
        </w:rPr>
        <w:t xml:space="preserve">Pendahuluan</w:t>
      </w:r>
    </w:p>
    <w:p>
      <w:pPr>
        <w:tabs>
          <w:tab w:val="right" w:pos="9026" w:leader="dot"/>
        </w:tabs>
        <w:spacing w:after="140"/>
      </w:pPr>
      <w:r>
        <w:rPr>
          <w:rFonts w:ascii="Calibri" w:cs="Calibri" w:eastAsia="Calibri" w:hAnsi="Calibri"/>
          <w:b/>
          <w:bCs/>
          <w:color w:val="4F46E5"/>
          <w:sz w:val="22"/>
          <w:szCs w:val="22"/>
        </w:rPr>
        <w:t xml:space="preserve">2.  </w:t>
      </w:r>
      <w:r>
        <w:rPr>
          <w:rFonts w:ascii="Calibri" w:cs="Calibri" w:eastAsia="Calibri" w:hAnsi="Calibri"/>
          <w:color w:val="0F172A"/>
          <w:sz w:val="22"/>
          <w:szCs w:val="22"/>
        </w:rPr>
        <w:t xml:space="preserve">Konsep Dasar Mechanical Power</w:t>
      </w:r>
    </w:p>
    <w:p>
      <w:pPr>
        <w:tabs>
          <w:tab w:val="right" w:pos="9026" w:leader="dot"/>
        </w:tabs>
        <w:spacing w:after="140"/>
      </w:pPr>
      <w:r>
        <w:rPr>
          <w:rFonts w:ascii="Calibri" w:cs="Calibri" w:eastAsia="Calibri" w:hAnsi="Calibri"/>
          <w:b/>
          <w:bCs/>
          <w:color w:val="4F46E5"/>
          <w:sz w:val="22"/>
          <w:szCs w:val="22"/>
        </w:rPr>
        <w:t xml:space="preserve">3.  </w:t>
      </w:r>
      <w:r>
        <w:rPr>
          <w:rFonts w:ascii="Calibri" w:cs="Calibri" w:eastAsia="Calibri" w:hAnsi="Calibri"/>
          <w:color w:val="0F172A"/>
          <w:sz w:val="22"/>
          <w:szCs w:val="22"/>
        </w:rPr>
        <w:t xml:space="preserve">Komponen Mechanical Power dan Kontributor Utama</w:t>
      </w:r>
    </w:p>
    <w:p>
      <w:pPr>
        <w:tabs>
          <w:tab w:val="right" w:pos="9026" w:leader="dot"/>
        </w:tabs>
        <w:spacing w:after="140"/>
      </w:pPr>
      <w:r>
        <w:rPr>
          <w:rFonts w:ascii="Calibri" w:cs="Calibri" w:eastAsia="Calibri" w:hAnsi="Calibri"/>
          <w:b/>
          <w:bCs/>
          <w:color w:val="4F46E5"/>
          <w:sz w:val="22"/>
          <w:szCs w:val="22"/>
        </w:rPr>
        <w:t xml:space="preserve">4.  </w:t>
      </w:r>
      <w:r>
        <w:rPr>
          <w:rFonts w:ascii="Calibri" w:cs="Calibri" w:eastAsia="Calibri" w:hAnsi="Calibri"/>
          <w:color w:val="0F172A"/>
          <w:sz w:val="22"/>
          <w:szCs w:val="22"/>
        </w:rPr>
        <w:t xml:space="preserve">Bukti Dampak Mechanical Power terhadap Outcome Klinis</w:t>
      </w:r>
    </w:p>
    <w:p>
      <w:pPr>
        <w:tabs>
          <w:tab w:val="right" w:pos="9026" w:leader="dot"/>
        </w:tabs>
        <w:spacing w:after="140"/>
      </w:pPr>
      <w:r>
        <w:rPr>
          <w:rFonts w:ascii="Calibri" w:cs="Calibri" w:eastAsia="Calibri" w:hAnsi="Calibri"/>
          <w:b/>
          <w:bCs/>
          <w:color w:val="4F46E5"/>
          <w:sz w:val="22"/>
          <w:szCs w:val="22"/>
        </w:rPr>
        <w:t xml:space="preserve">5.  </w:t>
      </w:r>
      <w:r>
        <w:rPr>
          <w:rFonts w:ascii="Calibri" w:cs="Calibri" w:eastAsia="Calibri" w:hAnsi="Calibri"/>
          <w:color w:val="0F172A"/>
          <w:sz w:val="22"/>
          <w:szCs w:val="22"/>
        </w:rPr>
        <w:t xml:space="preserve">Isu Normalisasi Mechanical Power</w:t>
      </w:r>
    </w:p>
    <w:p>
      <w:pPr>
        <w:tabs>
          <w:tab w:val="right" w:pos="9026" w:leader="dot"/>
        </w:tabs>
        <w:spacing w:after="140"/>
      </w:pPr>
      <w:r>
        <w:rPr>
          <w:rFonts w:ascii="Calibri" w:cs="Calibri" w:eastAsia="Calibri" w:hAnsi="Calibri"/>
          <w:b/>
          <w:bCs/>
          <w:color w:val="4F46E5"/>
          <w:sz w:val="22"/>
          <w:szCs w:val="22"/>
        </w:rPr>
        <w:t xml:space="preserve">6.  </w:t>
      </w:r>
      <w:r>
        <w:rPr>
          <w:rFonts w:ascii="Calibri" w:cs="Calibri" w:eastAsia="Calibri" w:hAnsi="Calibri"/>
          <w:color w:val="0F172A"/>
          <w:sz w:val="22"/>
          <w:szCs w:val="22"/>
        </w:rPr>
        <w:t xml:space="preserve">Strategi Optimisasi Mechanical Power</w:t>
      </w:r>
    </w:p>
    <w:p>
      <w:pPr>
        <w:tabs>
          <w:tab w:val="right" w:pos="9026" w:leader="dot"/>
        </w:tabs>
        <w:spacing w:after="140"/>
      </w:pPr>
      <w:r>
        <w:rPr>
          <w:rFonts w:ascii="Calibri" w:cs="Calibri" w:eastAsia="Calibri" w:hAnsi="Calibri"/>
          <w:b/>
          <w:bCs/>
          <w:color w:val="4F46E5"/>
          <w:sz w:val="22"/>
          <w:szCs w:val="22"/>
        </w:rPr>
        <w:t xml:space="preserve">7.  </w:t>
      </w:r>
      <w:r>
        <w:rPr>
          <w:rFonts w:ascii="Calibri" w:cs="Calibri" w:eastAsia="Calibri" w:hAnsi="Calibri"/>
          <w:color w:val="0F172A"/>
          <w:sz w:val="22"/>
          <w:szCs w:val="22"/>
        </w:rPr>
        <w:t xml:space="preserve">Arah Masa Depan: Teknologi dan Individualisasi</w:t>
      </w:r>
    </w:p>
    <w:p>
      <w:pPr>
        <w:tabs>
          <w:tab w:val="right" w:pos="9026" w:leader="dot"/>
        </w:tabs>
        <w:spacing w:after="140"/>
      </w:pPr>
      <w:r>
        <w:rPr>
          <w:rFonts w:ascii="Calibri" w:cs="Calibri" w:eastAsia="Calibri" w:hAnsi="Calibri"/>
          <w:b/>
          <w:bCs/>
          <w:color w:val="4F46E5"/>
          <w:sz w:val="22"/>
          <w:szCs w:val="22"/>
        </w:rPr>
        <w:t xml:space="preserve">8.  </w:t>
      </w:r>
      <w:r>
        <w:rPr>
          <w:rFonts w:ascii="Calibri" w:cs="Calibri" w:eastAsia="Calibri" w:hAnsi="Calibri"/>
          <w:color w:val="0F172A"/>
          <w:sz w:val="22"/>
          <w:szCs w:val="22"/>
        </w:rPr>
        <w:t xml:space="preserve">Kesimpulan dan Butir Penting untuk Praktik Klinis</w:t>
      </w:r>
    </w:p>
    <w:p>
      <w:pPr>
        <w:tabs>
          <w:tab w:val="right" w:pos="9026" w:leader="dot"/>
        </w:tabs>
        <w:spacing w:after="140"/>
      </w:pPr>
      <w:r>
        <w:rPr>
          <w:rFonts w:ascii="Calibri" w:cs="Calibri" w:eastAsia="Calibri" w:hAnsi="Calibri"/>
          <w:b/>
          <w:bCs/>
          <w:color w:val="4F46E5"/>
          <w:sz w:val="22"/>
          <w:szCs w:val="22"/>
        </w:rPr>
        <w:t xml:space="preserve"/>
      </w:r>
      <w:r>
        <w:rPr>
          <w:rFonts w:ascii="Calibri" w:cs="Calibri" w:eastAsia="Calibri" w:hAnsi="Calibri"/>
          <w:color w:val="0F172A"/>
          <w:sz w:val="22"/>
          <w:szCs w:val="22"/>
        </w:rPr>
        <w:t xml:space="preserve">Daftar Pustaka</w:t>
      </w:r>
    </w:p>
    <w:p>
      <w:r>
        <w:br w:type="page"/>
      </w:r>
    </w:p>
    <w:p>
      <w:pPr>
        <w:pStyle w:val="Heading1"/>
        <w:pBdr>
          <w:bottom w:val="single" w:color="4F46E5" w:sz="12" w:space="6"/>
        </w:pBdr>
        <w:spacing w:after="240" w:before="480"/>
      </w:pPr>
      <w:r>
        <w:rPr>
          <w:rFonts w:ascii="Calibri" w:cs="Calibri" w:eastAsia="Calibri" w:hAnsi="Calibri"/>
          <w:b/>
          <w:bCs/>
          <w:color w:val="4F46E5"/>
          <w:sz w:val="32"/>
          <w:szCs w:val="32"/>
        </w:rPr>
        <w:t xml:space="preserve">1  </w:t>
      </w:r>
      <w:r>
        <w:rPr>
          <w:rFonts w:ascii="Calibri" w:cs="Calibri" w:eastAsia="Calibri" w:hAnsi="Calibri"/>
          <w:b/>
          <w:bCs/>
          <w:color w:val="0F172A"/>
          <w:sz w:val="32"/>
          <w:szCs w:val="32"/>
        </w:rPr>
        <w:t xml:space="preserve">Pendahuluan</w:t>
      </w:r>
    </w:p>
    <w:p>
      <w:pPr>
        <w:spacing w:after="200" w:line="320"/>
        <w:jc w:val="both"/>
      </w:pPr>
      <w:r>
        <w:rPr>
          <w:rFonts w:ascii="Calibri" w:cs="Calibri" w:eastAsia="Calibri" w:hAnsi="Calibri"/>
          <w:i w:val="false"/>
          <w:iCs w:val="false"/>
          <w:color w:val="0F172A"/>
          <w:sz w:val="22"/>
          <w:szCs w:val="22"/>
        </w:rPr>
        <w:t xml:space="preserve">Ventilasi mekanik tetap menjadi terapi penopang nyawa pada pasien Acute Respiratory Distress Syndrome (ARDS), namun ventilator yang sama yang menyelamatkan pasien juga berpotensi memperberat cedera paru melalui mekanisme yang dikenal sebagai ventilator-induced lung injury (VILI). Strategi lung-protective klasik — pembatasan tidal volume 6 mL/kg berat badan prediksi (ARDSNet) dan pembatasan driving pressure — telah terbukti menurunkan mortalitas dibandingkan ventilasi konvensional, namun kedua parameter tersebut bersifat statis dan tidak menangkap kontribusi laju napas maupun flow inspirasi terhadap beban energi yang diterima paru.</w:t>
      </w:r>
    </w:p>
    <w:p>
      <w:pPr>
        <w:spacing w:after="200" w:line="320"/>
        <w:jc w:val="both"/>
      </w:pPr>
      <w:r>
        <w:rPr>
          <w:rFonts w:ascii="Calibri" w:cs="Calibri" w:eastAsia="Calibri" w:hAnsi="Calibri"/>
          <w:i w:val="false"/>
          <w:iCs w:val="false"/>
          <w:color w:val="0F172A"/>
          <w:sz w:val="22"/>
          <w:szCs w:val="22"/>
        </w:rPr>
        <w:t xml:space="preserve">Mechanical power (MP) hadir sebagai konsep pemersatu yang mengintegrasikan volume, tekanan, flow, dan frekuensi napas ke dalam satu ukuran tunggal laju transfer energi dari ventilator ke sistem respirasi, dinyatakan dalam joule per menit (J/menit). Sejak pertama kali diformulasikan secara komprehensif oleh Gattinoni dan kolega, MP telah menjadi salah satu topik riset paling aktif dalam ventilasi mekanik satu dekade terakhir, dengan ratusan publikasi observasional, beberapa uji klinis acak, dan sejumlah tinjauan sistematis yang terbit sepanjang 2025 hingga awal 2026.</w:t>
      </w:r>
    </w:p>
    <w:tbl>
      <w:tblPr>
        <w:tblW w:type="pct" w:w="100%"/>
        <w:tblBorders>
          <w:top w:val="single" w:color="EEF2FF" w:sz="4"/>
          <w:left w:val="single" w:color="4F46E5" w:sz="24"/>
          <w:bottom w:val="single" w:color="EEF2FF" w:sz="4"/>
          <w:right w:val="single" w:color="EEF2FF" w:sz="4"/>
          <w:insideH w:val="none" w:color="EEF2FF" w:sz="0"/>
          <w:insideV w:val="none" w:color="EEF2FF" w:sz="0"/>
        </w:tblBorders>
      </w:tblPr>
      <w:tblGrid>
        <w:gridCol w:w="9350"/>
      </w:tblGrid>
      <w:tr>
        <w:tc>
          <w:tcPr>
            <w:tcW w:type="pct" w:w="100%"/>
            <w:shd w:fill="EEF2FF" w:color="auto" w:val="clear"/>
            <w:tcMar>
              <w:top w:type="dxa" w:w="160"/>
              <w:left w:type="dxa" w:w="260"/>
              <w:bottom w:type="dxa" w:w="160"/>
              <w:right w:type="dxa" w:w="260"/>
            </w:tcMar>
          </w:tcPr>
          <w:p>
            <w:pPr>
              <w:spacing w:after="80"/>
            </w:pPr>
            <w:r>
              <w:rPr>
                <w:rFonts w:ascii="Calibri" w:cs="Calibri" w:eastAsia="Calibri" w:hAnsi="Calibri"/>
                <w:b/>
                <w:bCs/>
                <w:color w:val="4F46E5"/>
                <w:sz w:val="21"/>
                <w:szCs w:val="21"/>
              </w:rPr>
              <w:t xml:space="preserve">Mengapa topik ini relevan bagi klinisi ICU</w:t>
            </w:r>
          </w:p>
          <w:p>
            <w:pPr>
              <w:spacing w:after="0" w:line="300"/>
            </w:pPr>
            <w:r>
              <w:rPr>
                <w:rFonts w:ascii="Calibri" w:cs="Calibri" w:eastAsia="Calibri" w:hAnsi="Calibri"/>
                <w:color w:val="0F172A"/>
                <w:sz w:val="21"/>
                <w:szCs w:val="21"/>
              </w:rPr>
              <w:t xml:space="preserve">Meski MP secara konsisten berasosiasi dengan luaran yang lebih buruk pada studi observasional besar, bukti terbaru justru menantang asumsi bahwa MP dapat langsung dijadikan target terapi. Materi ini akan menelusuri evolusi pemahaman tersebut — dari konsep, dampak klinis, hingga strategi optimisasi yang telah diuji hingga awal 2026 — sebagai bahan diskusi ilmiah pada simposium MCCM ke-4.</w:t>
            </w:r>
          </w:p>
        </w:tc>
      </w:tr>
    </w:tbl>
    <w:p>
      <w:pPr>
        <w:spacing w:after="80"/>
      </w:pPr>
    </w:p>
    <w:p>
      <w:pPr>
        <w:spacing w:after="200" w:line="320"/>
        <w:jc w:val="both"/>
      </w:pPr>
      <w:r>
        <w:rPr>
          <w:rFonts w:ascii="Calibri" w:cs="Calibri" w:eastAsia="Calibri" w:hAnsi="Calibri"/>
          <w:i w:val="false"/>
          <w:iCs w:val="false"/>
          <w:color w:val="0F172A"/>
          <w:sz w:val="22"/>
          <w:szCs w:val="22"/>
        </w:rPr>
        <w:t xml:space="preserve">Naskah ini disusun berdasarkan penelusuran dan sintesis terhadap lebih dari dua puluh sumber literatur — mencakup narrative review, perspective article, studi kohort retrospektif multi-senter, uji klinis acak terkontrol, serta meta-analisis — dengan penekanan pada publikasi 2025–2026 agar sejalan dengan perkembangan bukti paling mutakhir.</w:t>
      </w:r>
    </w:p>
    <w:p>
      <w:pPr>
        <w:pStyle w:val="Heading1"/>
        <w:pBdr>
          <w:bottom w:val="single" w:color="4F46E5" w:sz="12" w:space="6"/>
        </w:pBdr>
        <w:spacing w:after="240" w:before="480"/>
      </w:pPr>
      <w:r>
        <w:rPr>
          <w:rFonts w:ascii="Calibri" w:cs="Calibri" w:eastAsia="Calibri" w:hAnsi="Calibri"/>
          <w:b/>
          <w:bCs/>
          <w:color w:val="4F46E5"/>
          <w:sz w:val="32"/>
          <w:szCs w:val="32"/>
        </w:rPr>
        <w:t xml:space="preserve">2  </w:t>
      </w:r>
      <w:r>
        <w:rPr>
          <w:rFonts w:ascii="Calibri" w:cs="Calibri" w:eastAsia="Calibri" w:hAnsi="Calibri"/>
          <w:b/>
          <w:bCs/>
          <w:color w:val="0F172A"/>
          <w:sz w:val="32"/>
          <w:szCs w:val="32"/>
        </w:rPr>
        <w:t xml:space="preserve">Konsep Dasar Mechanical Power</w:t>
      </w:r>
    </w:p>
    <w:p>
      <w:pPr>
        <w:spacing w:after="200" w:line="320"/>
        <w:jc w:val="both"/>
      </w:pPr>
      <w:r>
        <w:rPr>
          <w:rFonts w:ascii="Calibri" w:cs="Calibri" w:eastAsia="Calibri" w:hAnsi="Calibri"/>
          <w:i w:val="false"/>
          <w:iCs w:val="false"/>
          <w:color w:val="0F172A"/>
          <w:sz w:val="22"/>
          <w:szCs w:val="22"/>
        </w:rPr>
        <w:t xml:space="preserve">Secara fisiologis, setiap siklus napas ventilator mengubah energi listrik menjadi energi kinetik, yang kemudian sebagian tersimpan sebagai energi potensial elastis (dan dapat dikembalikan saat ekspirasi tanpa menimbulkan kerusakan jaringan), dan sebagian lain hilang sebagai energi disipatif — misalnya dalam bentuk panas akibat deformasi jaringan yang cepat. Titik penting yang ditekankan pada literatur terbaru adalah bahwa cedera paru sesungguhnya didorong oleh energi yang terdisipasi secara ireversibel, bukan sekadar oleh besaran tekanan atau volume yang terisolasi.</w:t>
      </w:r>
    </w:p>
    <w:p>
      <w:pPr>
        <w:spacing w:after="200" w:line="320"/>
        <w:jc w:val="both"/>
      </w:pPr>
      <w:r>
        <w:rPr>
          <w:rFonts w:ascii="Calibri" w:cs="Calibri" w:eastAsia="Calibri" w:hAnsi="Calibri"/>
          <w:i w:val="false"/>
          <w:iCs w:val="false"/>
          <w:color w:val="0F172A"/>
          <w:sz w:val="22"/>
          <w:szCs w:val="22"/>
        </w:rPr>
        <w:t xml:space="preserve">Formulasi klasik mechanical power terhadap sistem respirasi (MPrs) yang banyak dirujuk dalam literatur adalah sebagai berikut, menggabungkan laju napas (RR), perubahan volume (ΔV), elastance sistem respirasi (ELrs), rasio inspirasi:ekspirasi (I:E), resistensi jalan napas (Raw), dan PEEP:</w:t>
      </w:r>
    </w:p>
    <w:tbl>
      <w:tblPr>
        <w:tblW w:type="pct" w:w="100%"/>
        <w:tblBorders>
          <w:top w:val="single" w:color="E0F2FE" w:sz="4"/>
          <w:left w:val="single" w:color="0EA5E9" w:sz="24"/>
          <w:bottom w:val="single" w:color="E0F2FE" w:sz="4"/>
          <w:right w:val="single" w:color="E0F2FE" w:sz="4"/>
          <w:insideH w:val="none" w:color="E0F2FE" w:sz="0"/>
          <w:insideV w:val="none" w:color="E0F2FE" w:sz="0"/>
        </w:tblBorders>
      </w:tblPr>
      <w:tblGrid>
        <w:gridCol w:w="9350"/>
      </w:tblGrid>
      <w:tr>
        <w:tc>
          <w:tcPr>
            <w:tcW w:type="pct" w:w="100%"/>
            <w:shd w:fill="E0F2FE" w:color="auto" w:val="clear"/>
            <w:tcMar>
              <w:top w:type="dxa" w:w="160"/>
              <w:left w:type="dxa" w:w="260"/>
              <w:bottom w:type="dxa" w:w="160"/>
              <w:right w:type="dxa" w:w="260"/>
            </w:tcMar>
          </w:tcPr>
          <w:p>
            <w:pPr>
              <w:spacing w:after="80"/>
            </w:pPr>
            <w:r>
              <w:rPr>
                <w:rFonts w:ascii="Calibri" w:cs="Calibri" w:eastAsia="Calibri" w:hAnsi="Calibri"/>
                <w:b/>
                <w:bCs/>
                <w:color w:val="0EA5E9"/>
                <w:sz w:val="21"/>
                <w:szCs w:val="21"/>
              </w:rPr>
              <w:t xml:space="preserve">Formula ringkas</w:t>
            </w:r>
          </w:p>
          <w:p>
            <w:pPr>
              <w:spacing w:after="0" w:line="300"/>
            </w:pPr>
            <w:r>
              <w:rPr>
                <w:rFonts w:ascii="Calibri" w:cs="Calibri" w:eastAsia="Calibri" w:hAnsi="Calibri"/>
                <w:color w:val="0F172A"/>
                <w:sz w:val="21"/>
                <w:szCs w:val="21"/>
              </w:rPr>
              <w:t xml:space="preserve">MPrs = RR × ΔV² × [½·ELrs + RR·(1+I:E)/(60·I:E)·Raw] + ΔV·PEEP — dengan satuan energi dinyatakan dalam joule per menit (J/menit).</w:t>
            </w:r>
          </w:p>
        </w:tc>
      </w:tr>
    </w:tbl>
    <w:p>
      <w:pPr>
        <w:spacing w:after="80"/>
      </w:pPr>
    </w:p>
    <w:p>
      <w:pPr>
        <w:spacing w:after="200" w:line="320"/>
        <w:jc w:val="both"/>
      </w:pPr>
      <w:r>
        <w:rPr>
          <w:rFonts w:ascii="Calibri" w:cs="Calibri" w:eastAsia="Calibri" w:hAnsi="Calibri"/>
          <w:i w:val="false"/>
          <w:iCs w:val="false"/>
          <w:color w:val="0F172A"/>
          <w:sz w:val="22"/>
          <w:szCs w:val="22"/>
        </w:rPr>
        <w:t xml:space="preserve">Pada praktiknya, rumus di atas cukup rumit untuk dihitung manual di samping tempat tidur, sehingga sejumlah rumus surrogate/simplified yang berbasis parameter ventilator standar (tekanan puncak, PEEP, driving pressure, tidal volume, laju napas, dan rasio I:E) banyak digunakan pada studi observasional skala besar maupun pada modul otomatis yang mulai ditanamkan pada ventilator generasi baru.</w:t>
      </w:r>
    </w:p>
    <w:p>
      <w:pPr>
        <w:pStyle w:val="Heading1"/>
        <w:pBdr>
          <w:bottom w:val="single" w:color="4F46E5" w:sz="12" w:space="6"/>
        </w:pBdr>
        <w:spacing w:after="240" w:before="480"/>
      </w:pPr>
      <w:r>
        <w:rPr>
          <w:rFonts w:ascii="Calibri" w:cs="Calibri" w:eastAsia="Calibri" w:hAnsi="Calibri"/>
          <w:b/>
          <w:bCs/>
          <w:color w:val="4F46E5"/>
          <w:sz w:val="32"/>
          <w:szCs w:val="32"/>
        </w:rPr>
        <w:t xml:space="preserve">3  </w:t>
      </w:r>
      <w:r>
        <w:rPr>
          <w:rFonts w:ascii="Calibri" w:cs="Calibri" w:eastAsia="Calibri" w:hAnsi="Calibri"/>
          <w:b/>
          <w:bCs/>
          <w:color w:val="0F172A"/>
          <w:sz w:val="32"/>
          <w:szCs w:val="32"/>
        </w:rPr>
        <w:t xml:space="preserve">Komponen Mechanical Power dan Kontributor Utama</w:t>
      </w:r>
    </w:p>
    <w:p>
      <w:pPr>
        <w:spacing w:after="200" w:line="320"/>
        <w:jc w:val="both"/>
      </w:pPr>
      <w:r>
        <w:rPr>
          <w:rFonts w:ascii="Calibri" w:cs="Calibri" w:eastAsia="Calibri" w:hAnsi="Calibri"/>
          <w:i w:val="false"/>
          <w:iCs w:val="false"/>
          <w:color w:val="0F172A"/>
          <w:sz w:val="22"/>
          <w:szCs w:val="22"/>
        </w:rPr>
        <w:t xml:space="preserve">Energi yang ditransfer ventilator ke paru dapat diuraikan menjadi tiga komponen utama, yang masing-masing merepresentasikan sumber beban mekanik yang berbeda:</w:t>
      </w:r>
    </w:p>
    <w:p>
      <w:pPr>
        <w:pStyle w:val="ListParagraph"/>
        <w:numPr>
          <w:ilvl w:val="0"/>
          <w:numId w:val="2"/>
        </w:numPr>
        <w:spacing w:after="120" w:line="300"/>
      </w:pPr>
      <w:r>
        <w:rPr>
          <w:rFonts w:ascii="Calibri" w:cs="Calibri" w:eastAsia="Calibri" w:hAnsi="Calibri"/>
          <w:color w:val="0F172A"/>
          <w:sz w:val="22"/>
          <w:szCs w:val="22"/>
        </w:rPr>
        <w:t xml:space="preserve">Elastic static power — kerja yang dibutuhkan untuk mempertahankan tegangan basal akibat PEEP, mencerminkan beban akibat rekruitmen alveolar yang menetap sepanjang siklus napas.</w:t>
      </w:r>
    </w:p>
    <w:p>
      <w:pPr>
        <w:pStyle w:val="ListParagraph"/>
        <w:numPr>
          <w:ilvl w:val="0"/>
          <w:numId w:val="2"/>
        </w:numPr>
        <w:spacing w:after="120" w:line="300"/>
      </w:pPr>
      <w:r>
        <w:rPr>
          <w:rFonts w:ascii="Calibri" w:cs="Calibri" w:eastAsia="Calibri" w:hAnsi="Calibri"/>
          <w:color w:val="0F172A"/>
          <w:sz w:val="22"/>
          <w:szCs w:val="22"/>
        </w:rPr>
        <w:t xml:space="preserve">Elastic dynamic power — kerja untuk menginflasi alveoli, bergantung pada elastance paru; komponen inilah yang pada beberapa studi kohort teridentifikasi sebagai kontributor terbesar terhadap mechanical power total yang tinggi.</w:t>
      </w:r>
    </w:p>
    <w:p>
      <w:pPr>
        <w:pStyle w:val="ListParagraph"/>
        <w:numPr>
          <w:ilvl w:val="0"/>
          <w:numId w:val="2"/>
        </w:numPr>
        <w:spacing w:after="120" w:line="300"/>
      </w:pPr>
      <w:r>
        <w:rPr>
          <w:rFonts w:ascii="Calibri" w:cs="Calibri" w:eastAsia="Calibri" w:hAnsi="Calibri"/>
          <w:color w:val="0F172A"/>
          <w:sz w:val="22"/>
          <w:szCs w:val="22"/>
        </w:rPr>
        <w:t xml:space="preserve">Resistive power — kerja untuk mengatasi resistensi jalan napas terhadap aliran gas (flow) selama inspirasi.</w:t>
      </w:r>
    </w:p>
    <w:p>
      <w:pPr>
        <w:spacing w:after="80"/>
      </w:pPr>
    </w:p>
    <w:p>
      <w:pPr>
        <w:spacing w:after="200" w:line="320"/>
        <w:jc w:val="both"/>
      </w:pPr>
      <w:r>
        <w:rPr>
          <w:rFonts w:ascii="Calibri" w:cs="Calibri" w:eastAsia="Calibri" w:hAnsi="Calibri"/>
          <w:i w:val="false"/>
          <w:iCs w:val="false"/>
          <w:color w:val="0F172A"/>
          <w:sz w:val="22"/>
          <w:szCs w:val="22"/>
        </w:rPr>
        <w:t xml:space="preserve">Studi observasional prospektif pada 137 pasien ARDS oleh Medhi dan kolega (2025) mendapati bahwa dari ketiga komponen tersebut, elastic dynamic power adalah kontributor dominan pada pasien dengan MP tinggi (≥29 J/menit) — memberi arah praktis bahwa optimisasi elastance paru (misalnya melalui manuver rekruitmen dan titrasi PEEP yang tepat) berpotensi memberi dampak lebih besar dibandingkan sekadar menurunkan laju napas.</w:t>
      </w:r>
    </w:p>
    <w:p>
      <w:pPr>
        <w:pStyle w:val="Heading1"/>
        <w:pBdr>
          <w:bottom w:val="single" w:color="4F46E5" w:sz="12" w:space="6"/>
        </w:pBdr>
        <w:spacing w:after="240" w:before="480"/>
      </w:pPr>
      <w:r>
        <w:rPr>
          <w:rFonts w:ascii="Calibri" w:cs="Calibri" w:eastAsia="Calibri" w:hAnsi="Calibri"/>
          <w:b/>
          <w:bCs/>
          <w:color w:val="4F46E5"/>
          <w:sz w:val="32"/>
          <w:szCs w:val="32"/>
        </w:rPr>
        <w:t xml:space="preserve">4  </w:t>
      </w:r>
      <w:r>
        <w:rPr>
          <w:rFonts w:ascii="Calibri" w:cs="Calibri" w:eastAsia="Calibri" w:hAnsi="Calibri"/>
          <w:b/>
          <w:bCs/>
          <w:color w:val="0F172A"/>
          <w:sz w:val="32"/>
          <w:szCs w:val="32"/>
        </w:rPr>
        <w:t xml:space="preserve">Bukti Dampak Mechanical Power terhadap Outcome Klinis</w:t>
      </w:r>
    </w:p>
    <w:p>
      <w:pPr>
        <w:spacing w:after="200" w:line="320"/>
        <w:jc w:val="both"/>
      </w:pPr>
      <w:r>
        <w:rPr>
          <w:rFonts w:ascii="Calibri" w:cs="Calibri" w:eastAsia="Calibri" w:hAnsi="Calibri"/>
          <w:i w:val="false"/>
          <w:iCs w:val="false"/>
          <w:color w:val="0F172A"/>
          <w:sz w:val="22"/>
          <w:szCs w:val="22"/>
        </w:rPr>
        <w:t xml:space="preserve">Data registri dan kohort observasional secara konsisten menunjukkan asosiasi antara mechanical power yang tinggi dan peningkatan mortalitas pada populasi ARDS maupun ICU campuran, dengan ambang yang sering dilaporkan berkisar 16–18 J/menit. Namun demikian, bukti terbaru — termasuk beberapa studi tahun 2025 yang menjadi rujukan utama naskah ini — mulai memperlihatkan gambaran yang lebih nuansa (nuanced) mengenai apakah MP benar-benar merupakan prediktor independen, atau lebih tepat dipahami sebagai penanda derajat keparahan penyakit paru yang mendasarinya.</w:t>
      </w:r>
    </w:p>
    <w:p>
      <w:pPr>
        <w:pStyle w:val="Heading2"/>
        <w:spacing w:after="160" w:before="320"/>
      </w:pPr>
      <w:r>
        <w:rPr>
          <w:rFonts w:ascii="Calibri" w:cs="Calibri" w:eastAsia="Calibri" w:hAnsi="Calibri"/>
          <w:b/>
          <w:bCs/>
          <w:color w:val="4F46E5"/>
          <w:sz w:val="24"/>
          <w:szCs w:val="24"/>
        </w:rPr>
        <w:t xml:space="preserve">4.1  Mechanical Power sebagai Prediktor: Bukti yang Bertentangan</w:t>
      </w:r>
    </w:p>
    <w:p>
      <w:pPr>
        <w:spacing w:after="200" w:line="320"/>
        <w:jc w:val="both"/>
      </w:pPr>
      <w:r>
        <w:rPr>
          <w:rFonts w:ascii="Calibri" w:cs="Calibri" w:eastAsia="Calibri" w:hAnsi="Calibri"/>
          <w:i w:val="false"/>
          <w:iCs w:val="false"/>
          <w:color w:val="0F172A"/>
          <w:sz w:val="22"/>
          <w:szCs w:val="22"/>
        </w:rPr>
        <w:t xml:space="preserve">Pada studi prospektif observasional oleh Medhi dan kolega (Indian Journal of Critical Care Medicine, 2025) terhadap 137 pasien ARDS, MP secara bermakna lebih tinggi pada kelompok non-survivor (median 29 J/menit) dibandingkan survivor (median 24 J/menit). Namun setelah dilakukan penyesuaian terhadap faktor perancu, MP tidak terbukti sebagai prediktor mortalitas yang independen — sementara driving pressure (DP) ≥16 cmH₂O tetap menjadi prediktor independen kuat dengan hazard ratio 2,93.</w:t>
      </w:r>
    </w:p>
    <w:p>
      <w:pPr>
        <w:spacing w:after="200" w:line="320"/>
        <w:jc w:val="both"/>
      </w:pPr>
      <w:r>
        <w:rPr>
          <w:rFonts w:ascii="Calibri" w:cs="Calibri" w:eastAsia="Calibri" w:hAnsi="Calibri"/>
          <w:i w:val="false"/>
          <w:iCs w:val="false"/>
          <w:color w:val="0F172A"/>
          <w:sz w:val="22"/>
          <w:szCs w:val="22"/>
        </w:rPr>
        <w:t xml:space="preserve">Temuan serupa muncul pada perspective article oleh Nieman dan kolega yang menyoroti bahwa hubungan antara MP dan mortalitas kemungkinan tidak bersifat kausal langsung; yang lebih menentukan adalah MP setelah dinormalisasi terhadap compliance sistem respirasi (Crs) atau end-expiratory lung volume (EELV) — mengindikasikan bahwa ukuran paru yang berfungsi (functional lung size) dan patofisiologi yang mendasarinya menjadi determinan risiko VILI yang lebih fundamental dibandingkan nilai absolut driving pressure atau MP itu sendiri.</w:t>
      </w:r>
    </w:p>
    <w:tbl>
      <w:tblPr>
        <w:tblW w:type="pct" w:w="100%"/>
        <w:tblBorders>
          <w:top w:val="single" w:color="FEF3C7" w:sz="4"/>
          <w:left w:val="single" w:color="D97706" w:sz="24"/>
          <w:bottom w:val="single" w:color="FEF3C7" w:sz="4"/>
          <w:right w:val="single" w:color="FEF3C7" w:sz="4"/>
          <w:insideH w:val="none" w:color="FEF3C7" w:sz="0"/>
          <w:insideV w:val="none" w:color="FEF3C7" w:sz="0"/>
        </w:tblBorders>
      </w:tblPr>
      <w:tblGrid>
        <w:gridCol w:w="9350"/>
      </w:tblGrid>
      <w:tr>
        <w:tc>
          <w:tcPr>
            <w:tcW w:type="pct" w:w="100%"/>
            <w:shd w:fill="FEF3C7" w:color="auto" w:val="clear"/>
            <w:tcMar>
              <w:top w:type="dxa" w:w="160"/>
              <w:left w:type="dxa" w:w="260"/>
              <w:bottom w:type="dxa" w:w="160"/>
              <w:right w:type="dxa" w:w="260"/>
            </w:tcMar>
          </w:tcPr>
          <w:p>
            <w:pPr>
              <w:spacing w:after="80"/>
            </w:pPr>
            <w:r>
              <w:rPr>
                <w:rFonts w:ascii="Calibri" w:cs="Calibri" w:eastAsia="Calibri" w:hAnsi="Calibri"/>
                <w:b/>
                <w:bCs/>
                <w:color w:val="D97706"/>
                <w:sz w:val="21"/>
                <w:szCs w:val="21"/>
              </w:rPr>
              <w:t xml:space="preserve">Butir kunci</w:t>
            </w:r>
          </w:p>
          <w:p>
            <w:pPr>
              <w:spacing w:after="0" w:line="300"/>
            </w:pPr>
            <w:r>
              <w:rPr>
                <w:rFonts w:ascii="Calibri" w:cs="Calibri" w:eastAsia="Calibri" w:hAnsi="Calibri"/>
                <w:color w:val="0F172A"/>
                <w:sz w:val="21"/>
                <w:szCs w:val="21"/>
              </w:rPr>
              <w:t xml:space="preserve">Paru yang kolaps sebagian, bila berhasil direkrut, akan meningkatkan compliance dan menurunkan elastance — sehingga secara otomatis menurunkan DP maupun MP pada pengaturan ventilator yang sama. Implikasinya: fokus tata laksana idealnya bergeser dari sekadar “menurunkan angka MP” ke arah “memperbaiki kondisi paru yang mendasari”.</w:t>
            </w:r>
          </w:p>
        </w:tc>
      </w:tr>
    </w:tbl>
    <w:p>
      <w:pPr>
        <w:spacing w:after="80"/>
      </w:pPr>
    </w:p>
    <w:p>
      <w:pPr>
        <w:pStyle w:val="Heading2"/>
        <w:spacing w:after="160" w:before="320"/>
      </w:pPr>
      <w:r>
        <w:rPr>
          <w:rFonts w:ascii="Calibri" w:cs="Calibri" w:eastAsia="Calibri" w:hAnsi="Calibri"/>
          <w:b/>
          <w:bCs/>
          <w:color w:val="4F46E5"/>
          <w:sz w:val="24"/>
          <w:szCs w:val="24"/>
        </w:rPr>
        <w:t xml:space="preserve">4.2  Data Kohort Skala Besar: Driving Pressure sebagai Determinan Utama</w:t>
      </w:r>
    </w:p>
    <w:p>
      <w:pPr>
        <w:spacing w:after="200" w:line="320"/>
        <w:jc w:val="both"/>
      </w:pPr>
      <w:r>
        <w:rPr>
          <w:rFonts w:ascii="Calibri" w:cs="Calibri" w:eastAsia="Calibri" w:hAnsi="Calibri"/>
          <w:i w:val="false"/>
          <w:iCs w:val="false"/>
          <w:color w:val="0F172A"/>
          <w:sz w:val="22"/>
          <w:szCs w:val="22"/>
        </w:rPr>
        <w:t xml:space="preserve">Studi retrospektif 12 tahun oleh Rahimi dan kolega (Medicina, 2025) terhadap 3.468 pasien ICU dengan ventilasi mekanik invasif membandingkan periode sebelum dan sesudah implementasi protokol Lung and Diaphragm Protective Ventilation (LDPV) yang dirancang untuk meminimalkan driving pressure. Implementasi protokol ini berasosiasi dengan penurunan mortalitas ICU yang bermakna (47,7% menjadi 41,1%) beriringan dengan penurunan median DP (14,3 menjadi 12,9 cmH₂O) dan median MP (17,0 menjadi 15,0 J/menit). Analisis multivariat mengidentifikasi penurunan DP sebagai determinan paling signifikan terhadap perbaikan survival, dengan MP dan tekanan puncak inspirasi berperan sebagai indikator prognostik pelengkap.</w:t>
      </w:r>
    </w:p>
    <w:p>
      <w:pPr>
        <w:spacing w:after="200" w:line="320"/>
        <w:jc w:val="both"/>
      </w:pPr>
      <w:r>
        <w:rPr>
          <w:rFonts w:ascii="Calibri" w:cs="Calibri" w:eastAsia="Calibri" w:hAnsi="Calibri"/>
          <w:i w:val="false"/>
          <w:iCs w:val="false"/>
          <w:color w:val="0F172A"/>
          <w:sz w:val="22"/>
          <w:szCs w:val="22"/>
        </w:rPr>
        <w:t xml:space="preserve">Pada populasi ARDS spesifik menggunakan database MIMIC-IV, Liu dan kolega (PLOS One, 2025) mengidentifikasi ambang transpulmonary driving pressure optimal sebesar 12,5 cmH₂O; pasien dengan nilai di atas ambang tersebut memiliki mortalitas 28-hari, ICU, dan rumah sakit yang secara bermakna lebih tinggi.</w:t>
      </w:r>
    </w:p>
    <w:p>
      <w:pPr>
        <w:pStyle w:val="Heading2"/>
        <w:spacing w:after="160" w:before="320"/>
      </w:pPr>
      <w:r>
        <w:rPr>
          <w:rFonts w:ascii="Calibri" w:cs="Calibri" w:eastAsia="Calibri" w:hAnsi="Calibri"/>
          <w:b/>
          <w:bCs/>
          <w:color w:val="4F46E5"/>
          <w:sz w:val="24"/>
          <w:szCs w:val="24"/>
        </w:rPr>
        <w:t xml:space="preserve">4.3  Meta-Analisis: Manfaat Klinis DP-Limited Ventilation Masih Terbatas</w:t>
      </w:r>
    </w:p>
    <w:p>
      <w:pPr>
        <w:spacing w:after="200" w:line="320"/>
        <w:jc w:val="both"/>
      </w:pPr>
      <w:r>
        <w:rPr>
          <w:rFonts w:ascii="Calibri" w:cs="Calibri" w:eastAsia="Calibri" w:hAnsi="Calibri"/>
          <w:i w:val="false"/>
          <w:iCs w:val="false"/>
          <w:color w:val="0F172A"/>
          <w:sz w:val="22"/>
          <w:szCs w:val="22"/>
        </w:rPr>
        <w:t xml:space="preserve">Meta-analisis oleh Cheng dan kolega (Critical Care, 2025) terhadap 4 RCT (n=465) yang membandingkan strategi ventilasi dengan pembatasan driving pressure versus lung-protective ventilation konvensional tidak menemukan perbedaan bermakna pada mortalitas 28-hari, mortalitas ICU, maupun mortalitas rumah sakit. Strategi DP-limited hanya berasosiasi dengan pemendekan lama rawat ICU (rata-rata 2,95 hari lebih singkat), tanpa perbedaan pada ventilator-free days, insidensi barotrauma, atau asidosis.</w:t>
      </w:r>
    </w:p>
    <w:p>
      <w:pPr>
        <w:spacing w:after="200" w:line="320"/>
        <w:jc w:val="both"/>
      </w:pPr>
      <w:r>
        <w:rPr>
          <w:rFonts w:ascii="Calibri" w:cs="Calibri" w:eastAsia="Calibri" w:hAnsi="Calibri"/>
          <w:i w:val="false"/>
          <w:iCs w:val="false"/>
          <w:color w:val="0F172A"/>
          <w:sz w:val="22"/>
          <w:szCs w:val="22"/>
        </w:rPr>
        <w:t xml:space="preserve">Temuan ini penting secara metodologis: meskipun asosiasi observasional antara DP/MP tinggi dan mortalitas sangat konsisten, uji klinis acak yang secara aktif menitrasi ventilasi berdasarkan target DP/MP belum berhasil menunjukkan manfaat mortalitas yang setara kuatnya — sejalan dengan simpulan tinjauan naratif oleh Pasledni dan kolega (European Respiratory Review, 2026) bahwa bukti saat ini belum mendukung titrasi ventilasi menuju ambang numerik MP yang telah ditetapkan sebelumnya.</w:t>
      </w:r>
    </w:p>
    <w:tbl>
      <w:tblPr>
        <w:tblW w:type="pct" w:w="100%"/>
        <w:tblBorders>
          <w:top w:val="none" w:color="FFFFFF" w:sz="0"/>
          <w:left w:val="none" w:color="FFFFFF" w:sz="0"/>
          <w:bottom w:val="none" w:color="FFFFFF" w:sz="0"/>
          <w:right w:val="none" w:color="FFFFFF" w:sz="0"/>
          <w:insideH w:val="none" w:color="FFFFFF" w:sz="0"/>
          <w:insideV w:val="single" w:color="FFFFFF" w:sz="4"/>
        </w:tblBorders>
      </w:tblPr>
      <w:tblGrid>
        <w:gridCol w:w="2337"/>
        <w:gridCol w:w="2337"/>
        <w:gridCol w:w="2337"/>
        <w:gridCol w:w="2337"/>
      </w:tblGrid>
      <w:tr>
        <w:tc>
          <w:tcPr>
            <w:tcW w:type="dxa" w:w="2337"/>
            <w:shd w:fill="F8FAFC" w:color="auto" w:val="clear"/>
            <w:tcMar>
              <w:top w:type="dxa" w:w="180"/>
              <w:left w:type="dxa" w:w="140"/>
              <w:bottom w:type="dxa" w:w="180"/>
              <w:right w:type="dxa" w:w="140"/>
            </w:tcMar>
          </w:tcPr>
          <w:p>
            <w:pPr>
              <w:spacing w:after="40"/>
              <w:jc w:val="center"/>
            </w:pPr>
            <w:r>
              <w:rPr>
                <w:rFonts w:ascii="Calibri" w:cs="Calibri" w:eastAsia="Calibri" w:hAnsi="Calibri"/>
                <w:b/>
                <w:bCs/>
                <w:color w:val="4F46E5"/>
                <w:sz w:val="30"/>
                <w:szCs w:val="30"/>
              </w:rPr>
              <w:t xml:space="preserve">16–18 J/min</w:t>
            </w:r>
          </w:p>
          <w:p>
            <w:pPr>
              <w:jc w:val="center"/>
            </w:pPr>
            <w:r>
              <w:rPr>
                <w:rFonts w:ascii="Calibri" w:cs="Calibri" w:eastAsia="Calibri" w:hAnsi="Calibri"/>
                <w:color w:val="475569"/>
                <w:sz w:val="16"/>
                <w:szCs w:val="16"/>
              </w:rPr>
              <w:t xml:space="preserve">Ambang MP terkait risiko lebih tinggi (data registri)</w:t>
            </w:r>
          </w:p>
        </w:tc>
        <w:tc>
          <w:tcPr>
            <w:tcW w:type="dxa" w:w="2337"/>
            <w:shd w:fill="F8FAFC" w:color="auto" w:val="clear"/>
            <w:tcMar>
              <w:top w:type="dxa" w:w="180"/>
              <w:left w:type="dxa" w:w="140"/>
              <w:bottom w:type="dxa" w:w="180"/>
              <w:right w:type="dxa" w:w="140"/>
            </w:tcMar>
          </w:tcPr>
          <w:p>
            <w:pPr>
              <w:spacing w:after="40"/>
              <w:jc w:val="center"/>
            </w:pPr>
            <w:r>
              <w:rPr>
                <w:rFonts w:ascii="Calibri" w:cs="Calibri" w:eastAsia="Calibri" w:hAnsi="Calibri"/>
                <w:b/>
                <w:bCs/>
                <w:color w:val="4F46E5"/>
                <w:sz w:val="30"/>
                <w:szCs w:val="30"/>
              </w:rPr>
              <w:t xml:space="preserve">HR 2,93</w:t>
            </w:r>
          </w:p>
          <w:p>
            <w:pPr>
              <w:jc w:val="center"/>
            </w:pPr>
            <w:r>
              <w:rPr>
                <w:rFonts w:ascii="Calibri" w:cs="Calibri" w:eastAsia="Calibri" w:hAnsi="Calibri"/>
                <w:color w:val="475569"/>
                <w:sz w:val="16"/>
                <w:szCs w:val="16"/>
              </w:rPr>
              <w:t xml:space="preserve">Driving pressure ≥16 cmH₂O sbg prediktor independen mortalitas</w:t>
            </w:r>
          </w:p>
        </w:tc>
        <w:tc>
          <w:tcPr>
            <w:tcW w:type="dxa" w:w="2337"/>
            <w:shd w:fill="F8FAFC" w:color="auto" w:val="clear"/>
            <w:tcMar>
              <w:top w:type="dxa" w:w="180"/>
              <w:left w:type="dxa" w:w="140"/>
              <w:bottom w:type="dxa" w:w="180"/>
              <w:right w:type="dxa" w:w="140"/>
            </w:tcMar>
          </w:tcPr>
          <w:p>
            <w:pPr>
              <w:spacing w:after="40"/>
              <w:jc w:val="center"/>
            </w:pPr>
            <w:r>
              <w:rPr>
                <w:rFonts w:ascii="Calibri" w:cs="Calibri" w:eastAsia="Calibri" w:hAnsi="Calibri"/>
                <w:b/>
                <w:bCs/>
                <w:color w:val="4F46E5"/>
                <w:sz w:val="30"/>
                <w:szCs w:val="30"/>
              </w:rPr>
              <w:t xml:space="preserve">12,5 cmH₂O</w:t>
            </w:r>
          </w:p>
          <w:p>
            <w:pPr>
              <w:jc w:val="center"/>
            </w:pPr>
            <w:r>
              <w:rPr>
                <w:rFonts w:ascii="Calibri" w:cs="Calibri" w:eastAsia="Calibri" w:hAnsi="Calibri"/>
                <w:color w:val="475569"/>
                <w:sz w:val="16"/>
                <w:szCs w:val="16"/>
              </w:rPr>
              <w:t xml:space="preserve">Ambang transpulmonary driving pressure optimal (MIMIC-IV)</w:t>
            </w:r>
          </w:p>
        </w:tc>
        <w:tc>
          <w:tcPr>
            <w:tcW w:type="dxa" w:w="2337"/>
            <w:shd w:fill="F8FAFC" w:color="auto" w:val="clear"/>
            <w:tcMar>
              <w:top w:type="dxa" w:w="180"/>
              <w:left w:type="dxa" w:w="140"/>
              <w:bottom w:type="dxa" w:w="180"/>
              <w:right w:type="dxa" w:w="140"/>
            </w:tcMar>
          </w:tcPr>
          <w:p>
            <w:pPr>
              <w:spacing w:after="40"/>
              <w:jc w:val="center"/>
            </w:pPr>
            <w:r>
              <w:rPr>
                <w:rFonts w:ascii="Calibri" w:cs="Calibri" w:eastAsia="Calibri" w:hAnsi="Calibri"/>
                <w:b/>
                <w:bCs/>
                <w:color w:val="4F46E5"/>
                <w:sz w:val="30"/>
                <w:szCs w:val="30"/>
              </w:rPr>
              <w:t xml:space="preserve">−2,95 hari</w:t>
            </w:r>
          </w:p>
          <w:p>
            <w:pPr>
              <w:jc w:val="center"/>
            </w:pPr>
            <w:r>
              <w:rPr>
                <w:rFonts w:ascii="Calibri" w:cs="Calibri" w:eastAsia="Calibri" w:hAnsi="Calibri"/>
                <w:color w:val="475569"/>
                <w:sz w:val="16"/>
                <w:szCs w:val="16"/>
              </w:rPr>
              <w:t xml:space="preserve">Pemendekan lama rawat ICU pada strategi DP-limited (meta-analisis)</w:t>
            </w:r>
          </w:p>
        </w:tc>
      </w:tr>
    </w:tbl>
    <w:p>
      <w:pPr>
        <w:spacing w:after="120"/>
      </w:pPr>
    </w:p>
    <w:p>
      <w:pPr>
        <w:pStyle w:val="Heading1"/>
        <w:pBdr>
          <w:bottom w:val="single" w:color="4F46E5" w:sz="12" w:space="6"/>
        </w:pBdr>
        <w:spacing w:after="240" w:before="480"/>
      </w:pPr>
      <w:r>
        <w:rPr>
          <w:rFonts w:ascii="Calibri" w:cs="Calibri" w:eastAsia="Calibri" w:hAnsi="Calibri"/>
          <w:b/>
          <w:bCs/>
          <w:color w:val="4F46E5"/>
          <w:sz w:val="32"/>
          <w:szCs w:val="32"/>
        </w:rPr>
        <w:t xml:space="preserve">5  </w:t>
      </w:r>
      <w:r>
        <w:rPr>
          <w:rFonts w:ascii="Calibri" w:cs="Calibri" w:eastAsia="Calibri" w:hAnsi="Calibri"/>
          <w:b/>
          <w:bCs/>
          <w:color w:val="0F172A"/>
          <w:sz w:val="32"/>
          <w:szCs w:val="32"/>
        </w:rPr>
        <w:t xml:space="preserve">Isu Normalisasi Mechanical Power</w:t>
      </w:r>
    </w:p>
    <w:p>
      <w:pPr>
        <w:spacing w:after="200" w:line="320"/>
        <w:jc w:val="both"/>
      </w:pPr>
      <w:r>
        <w:rPr>
          <w:rFonts w:ascii="Calibri" w:cs="Calibri" w:eastAsia="Calibri" w:hAnsi="Calibri"/>
          <w:i w:val="false"/>
          <w:iCs w:val="false"/>
          <w:color w:val="0F172A"/>
          <w:sz w:val="22"/>
          <w:szCs w:val="22"/>
        </w:rPr>
        <w:t xml:space="preserve">Salah satu perkembangan konseptual paling penting dalam riset MP dua tahun terakhir adalah pengakuan bahwa nilai MP absolut kurang informatif dibandingkan MP yang telah dinormalisasi terhadap ukuran fungsional paru. Zhang dan kolega mula-mula menunjukkan bahwa MP yang dinormalisasi terhadap berat badan prediksi (predicted body weight, sebagai surrogate ukuran paru) memiliki daya diskriminasi lebih baik dibandingkan MP absolut dalam memprediksi mortalitas — temuan yang kemudian direplikasi pada analisis gabungan delapan RCT ARDSNet (n=5.159 pasien), dengan interaksi bermakna antara norMP dan derajat keparahan ARDS: norMP tidak berasosiasi bermakna dengan mortalitas pada ARDS ringan, namun berasosiasi bermakna pada ARDS sedang dan berat.</w:t>
      </w:r>
    </w:p>
    <w:p>
      <w:pPr>
        <w:spacing w:after="200" w:line="320"/>
        <w:jc w:val="both"/>
      </w:pPr>
      <w:r>
        <w:rPr>
          <w:rFonts w:ascii="Calibri" w:cs="Calibri" w:eastAsia="Calibri" w:hAnsi="Calibri"/>
          <w:i w:val="false"/>
          <w:iCs w:val="false"/>
          <w:color w:val="0F172A"/>
          <w:sz w:val="22"/>
          <w:szCs w:val="22"/>
        </w:rPr>
        <w:t xml:space="preserve">Perkembangan lebih lanjut yang dirangkum dalam “2025 Year in Review — Mechanical Power” mencakup: (1) penggunaan ideal body weight untuk mengidentifikasi ambang ventilasi yang berpotensi cedera (LeTourneau &amp; Gallo De Moraes, 2025); (2) validasi normalisasi MP terhadap predicted body weight pada populasi ARDS pediatrik; (3) metode normalisasi alternatif untuk memprediksi mortalitas ICU; serta (4) temuan penting bahwa pada ambang MP absolut yang sebanding, mortalitas pasien perempuan cenderung lebih tinggi dibandingkan laki-laki — mengindikasikan perlunya normalisasi terhadap ukuran paru fungsional, bukan sekadar berat badan, agar perbandingan antar-pasien menjadi setara secara fisiologis.</w:t>
      </w:r>
    </w:p>
    <w:tbl>
      <w:tblPr>
        <w:tblW w:type="pct" w:w="100%"/>
        <w:tblBorders>
          <w:top w:val="single" w:color="D1FAE5" w:sz="4"/>
          <w:left w:val="single" w:color="059669" w:sz="24"/>
          <w:bottom w:val="single" w:color="D1FAE5" w:sz="4"/>
          <w:right w:val="single" w:color="D1FAE5" w:sz="4"/>
          <w:insideH w:val="none" w:color="D1FAE5" w:sz="0"/>
          <w:insideV w:val="none" w:color="D1FAE5" w:sz="0"/>
        </w:tblBorders>
      </w:tblPr>
      <w:tblGrid>
        <w:gridCol w:w="9350"/>
      </w:tblGrid>
      <w:tr>
        <w:tc>
          <w:tcPr>
            <w:tcW w:type="pct" w:w="100%"/>
            <w:shd w:fill="D1FAE5" w:color="auto" w:val="clear"/>
            <w:tcMar>
              <w:top w:type="dxa" w:w="160"/>
              <w:left w:type="dxa" w:w="260"/>
              <w:bottom w:type="dxa" w:w="160"/>
              <w:right w:type="dxa" w:w="260"/>
            </w:tcMar>
          </w:tcPr>
          <w:p>
            <w:pPr>
              <w:spacing w:after="80"/>
            </w:pPr>
            <w:r>
              <w:rPr>
                <w:rFonts w:ascii="Calibri" w:cs="Calibri" w:eastAsia="Calibri" w:hAnsi="Calibri"/>
                <w:b/>
                <w:bCs/>
                <w:color w:val="059669"/>
                <w:sz w:val="21"/>
                <w:szCs w:val="21"/>
              </w:rPr>
              <w:t xml:space="preserve">Implikasi praktis</w:t>
            </w:r>
          </w:p>
          <w:p>
            <w:pPr>
              <w:spacing w:after="0" w:line="300"/>
            </w:pPr>
            <w:r>
              <w:rPr>
                <w:rFonts w:ascii="Calibri" w:cs="Calibri" w:eastAsia="Calibri" w:hAnsi="Calibri"/>
                <w:color w:val="0F172A"/>
                <w:sz w:val="21"/>
                <w:szCs w:val="21"/>
              </w:rPr>
              <w:t xml:space="preserve">Saat menginterpretasi nilai MP di samping tempat tidur, klinisi sebaiknya mempertimbangkan konteks ukuran tubuh dan compliance paru pasien, bukan hanya membandingkan angka absolut terhadap ambang generik populasi.</w:t>
            </w:r>
          </w:p>
        </w:tc>
      </w:tr>
    </w:tbl>
    <w:p>
      <w:pPr>
        <w:pStyle w:val="Heading1"/>
        <w:pBdr>
          <w:bottom w:val="single" w:color="4F46E5" w:sz="12" w:space="6"/>
        </w:pBdr>
        <w:spacing w:after="240" w:before="480"/>
      </w:pPr>
      <w:r>
        <w:rPr>
          <w:rFonts w:ascii="Calibri" w:cs="Calibri" w:eastAsia="Calibri" w:hAnsi="Calibri"/>
          <w:b/>
          <w:bCs/>
          <w:color w:val="4F46E5"/>
          <w:sz w:val="32"/>
          <w:szCs w:val="32"/>
        </w:rPr>
        <w:t xml:space="preserve">6  </w:t>
      </w:r>
      <w:r>
        <w:rPr>
          <w:rFonts w:ascii="Calibri" w:cs="Calibri" w:eastAsia="Calibri" w:hAnsi="Calibri"/>
          <w:b/>
          <w:bCs/>
          <w:color w:val="0F172A"/>
          <w:sz w:val="32"/>
          <w:szCs w:val="32"/>
        </w:rPr>
        <w:t xml:space="preserve">Strategi Optimisasi Mechanical Power</w:t>
      </w:r>
    </w:p>
    <w:p>
      <w:pPr>
        <w:spacing w:after="200" w:line="320"/>
        <w:jc w:val="both"/>
      </w:pPr>
      <w:r>
        <w:rPr>
          <w:rFonts w:ascii="Calibri" w:cs="Calibri" w:eastAsia="Calibri" w:hAnsi="Calibri"/>
          <w:i w:val="false"/>
          <w:iCs w:val="false"/>
          <w:color w:val="0F172A"/>
          <w:sz w:val="22"/>
          <w:szCs w:val="22"/>
        </w:rPr>
        <w:t xml:space="preserve">Bagian ini merangkum empat pendekatan optimisasi MP yang telah diuji secara prospektif pada 2025–2026, mencerminakan bagaimana konsep MP mulai ditranslasikan dari deskriptor fisiologis menuju alat bantu keputusan klinis di samping tempat tidur.</w:t>
      </w:r>
    </w:p>
    <w:p>
      <w:pPr>
        <w:pStyle w:val="Heading2"/>
        <w:spacing w:after="160" w:before="320"/>
      </w:pPr>
      <w:r>
        <w:rPr>
          <w:rFonts w:ascii="Calibri" w:cs="Calibri" w:eastAsia="Calibri" w:hAnsi="Calibri"/>
          <w:b/>
          <w:bCs/>
          <w:color w:val="4F46E5"/>
          <w:sz w:val="24"/>
          <w:szCs w:val="24"/>
        </w:rPr>
        <w:t xml:space="preserve">6.1  Titrasi PEEP Berpandu Electrical Impedance Tomography (EIT)</w:t>
      </w:r>
    </w:p>
    <w:p>
      <w:pPr>
        <w:spacing w:after="200" w:line="320"/>
        <w:jc w:val="both"/>
      </w:pPr>
      <w:r>
        <w:rPr>
          <w:rFonts w:ascii="Calibri" w:cs="Calibri" w:eastAsia="Calibri" w:hAnsi="Calibri"/>
          <w:i w:val="false"/>
          <w:iCs w:val="false"/>
          <w:color w:val="0F172A"/>
          <w:sz w:val="22"/>
          <w:szCs w:val="22"/>
        </w:rPr>
        <w:t xml:space="preserve">RCT oleh Van Trung dan kolega (Scientific Reports, 2026) pada 108 pasien ARDS sedang–berat membandingkan titrasi PEEP berpandu EIT (menetapkan PEEP pada titik potong antara overdistensi dan kolaps alveolar selama uji PEEP dekremental) versus strategi PEEP/FiO₂ rendah konvensional. Kelompok EIT menunjukkan oksigenasi yang lebih baik pada hari pertama (PaO₂/FiO₂ 180 vs 159 mmHg), compliance statis yang lebih tinggi pada hari 1 dan 2, driving pressure yang lebih rendah, serta perbaikan skor SOFA yang lebih besar. Mortalitas 28-hari secara numerik lebih rendah pada kelompok EIT (29% vs 44%) meski belum mencapai signifikansi statistik (p=0,090), dengan manfaat paling menonjol pada subkelompok ARDS berat.</w:t>
      </w:r>
    </w:p>
    <w:p>
      <w:pPr>
        <w:pStyle w:val="Heading2"/>
        <w:spacing w:after="160" w:before="320"/>
      </w:pPr>
      <w:r>
        <w:rPr>
          <w:rFonts w:ascii="Calibri" w:cs="Calibri" w:eastAsia="Calibri" w:hAnsi="Calibri"/>
          <w:b/>
          <w:bCs/>
          <w:color w:val="4F46E5"/>
          <w:sz w:val="24"/>
          <w:szCs w:val="24"/>
        </w:rPr>
        <w:t xml:space="preserve">6.2  Protokol Ventilasi Berpandu Mechanical Power Real-Time (VentCoach)</w:t>
      </w:r>
    </w:p>
    <w:p>
      <w:pPr>
        <w:spacing w:after="200" w:line="320"/>
        <w:jc w:val="both"/>
      </w:pPr>
      <w:r>
        <w:rPr>
          <w:rFonts w:ascii="Calibri" w:cs="Calibri" w:eastAsia="Calibri" w:hAnsi="Calibri"/>
          <w:i w:val="false"/>
          <w:iCs w:val="false"/>
          <w:color w:val="0F172A"/>
          <w:sz w:val="22"/>
          <w:szCs w:val="22"/>
        </w:rPr>
        <w:t xml:space="preserve">Zheng dan kolega (Scientific Reports, 2026) menguji kelayakan protokol VentCoach — sistem terintegrasi rekam medis elektronik yang memandu terapis respirasi untuk mempertahankan MP di bawah 12 J/menit sambil menjaga pertukaran gas adekuat — pada uji coba acak terkontrol skala kecil (feasibility trial, n=17). Protokol terbukti layak diterapkan tanpa efek samping terkait protokol maupun gangguan alur kerja klinis. Kelompok VentCoach menunjukkan kecenderungan penurunan kebutuhan sedasi dan penurunan MP yang lebih besar dalam 24 jam, meski belum bermakna secara statistik pada ukuran sampel ini — sehingga penulis menyimpulkan diperlukan uji klinis skala lebih besar untuk menilai keamanan dan dampak terhadap luaran berpusat pasien.</w:t>
      </w:r>
    </w:p>
    <w:p>
      <w:pPr>
        <w:pStyle w:val="Heading2"/>
        <w:spacing w:after="160" w:before="320"/>
      </w:pPr>
      <w:r>
        <w:rPr>
          <w:rFonts w:ascii="Calibri" w:cs="Calibri" w:eastAsia="Calibri" w:hAnsi="Calibri"/>
          <w:b/>
          <w:bCs/>
          <w:color w:val="4F46E5"/>
          <w:sz w:val="24"/>
          <w:szCs w:val="24"/>
        </w:rPr>
        <w:t xml:space="preserve">6.3  Flow-Controlled Ventilation (FCV)</w:t>
      </w:r>
    </w:p>
    <w:p>
      <w:pPr>
        <w:spacing w:after="200" w:line="320"/>
        <w:jc w:val="both"/>
      </w:pPr>
      <w:r>
        <w:rPr>
          <w:rFonts w:ascii="Calibri" w:cs="Calibri" w:eastAsia="Calibri" w:hAnsi="Calibri"/>
          <w:i w:val="false"/>
          <w:iCs w:val="false"/>
          <w:color w:val="0F172A"/>
          <w:sz w:val="22"/>
          <w:szCs w:val="22"/>
        </w:rPr>
        <w:t xml:space="preserve">Studi crossover fisiologis oleh Van Oosten dan kolega (Intensive Care Medicine Experimental, 2025) pada 10 pasien ARDS sedang–berat membandingkan flow-controlled ventilation yang dioptimalkan (driving pressure berpandu compliance) dengan pressure-controlled ventilation konvensional. FCV menghasilkan MP yang sebanding dengan PCV (12,6 vs 14,8 J/menit; p=0,302) dan distribusi ventilasi tidal yang lebih baik ke regio mid-ventral hingga dorsal berdasarkan EIT. Namun, studi ini dihentikan lebih awal karena kekhawatiran keamanan — kecenderungan overdistensi pada regio paru non-dependent, satu kasus hiperkapnia berat, serta kesulitan penerapan FCV sesuai protokol yang dimaksudkan.</w:t>
      </w:r>
    </w:p>
    <w:tbl>
      <w:tblPr>
        <w:tblW w:type="pct" w:w="100%"/>
        <w:tblBorders>
          <w:top w:val="single" w:color="FEE2E2" w:sz="4"/>
          <w:left w:val="single" w:color="DC2626" w:sz="24"/>
          <w:bottom w:val="single" w:color="FEE2E2" w:sz="4"/>
          <w:right w:val="single" w:color="FEE2E2" w:sz="4"/>
          <w:insideH w:val="none" w:color="FEE2E2" w:sz="0"/>
          <w:insideV w:val="none" w:color="FEE2E2" w:sz="0"/>
        </w:tblBorders>
      </w:tblPr>
      <w:tblGrid>
        <w:gridCol w:w="9350"/>
      </w:tblGrid>
      <w:tr>
        <w:tc>
          <w:tcPr>
            <w:tcW w:type="pct" w:w="100%"/>
            <w:shd w:fill="FEE2E2" w:color="auto" w:val="clear"/>
            <w:tcMar>
              <w:top w:type="dxa" w:w="160"/>
              <w:left w:type="dxa" w:w="260"/>
              <w:bottom w:type="dxa" w:w="160"/>
              <w:right w:type="dxa" w:w="260"/>
            </w:tcMar>
          </w:tcPr>
          <w:p>
            <w:pPr>
              <w:spacing w:after="80"/>
            </w:pPr>
            <w:r>
              <w:rPr>
                <w:rFonts w:ascii="Calibri" w:cs="Calibri" w:eastAsia="Calibri" w:hAnsi="Calibri"/>
                <w:b/>
                <w:bCs/>
                <w:color w:val="DC2626"/>
                <w:sz w:val="21"/>
                <w:szCs w:val="21"/>
              </w:rPr>
              <w:t xml:space="preserve">Catatan kehati-hatian</w:t>
            </w:r>
          </w:p>
          <w:p>
            <w:pPr>
              <w:spacing w:after="0" w:line="300"/>
            </w:pPr>
            <w:r>
              <w:rPr>
                <w:rFonts w:ascii="Calibri" w:cs="Calibri" w:eastAsia="Calibri" w:hAnsi="Calibri"/>
                <w:color w:val="0F172A"/>
                <w:sz w:val="21"/>
                <w:szCs w:val="21"/>
              </w:rPr>
              <w:t xml:space="preserve">Studi FCV ini adalah pengingat penting bahwa strategi baru yang secara teoretis menjanjikan penurunan MP tidak otomatis aman diterapkan tanpa pemantauan ketat — evaluasi keselamatan tetap harus mendahului adopsi klinis luas.</w:t>
            </w:r>
          </w:p>
        </w:tc>
      </w:tr>
    </w:tbl>
    <w:p>
      <w:pPr>
        <w:spacing w:after="80"/>
      </w:pPr>
    </w:p>
    <w:p>
      <w:pPr>
        <w:pStyle w:val="Heading2"/>
        <w:spacing w:after="160" w:before="320"/>
      </w:pPr>
      <w:r>
        <w:rPr>
          <w:rFonts w:ascii="Calibri" w:cs="Calibri" w:eastAsia="Calibri" w:hAnsi="Calibri"/>
          <w:b/>
          <w:bCs/>
          <w:color w:val="4F46E5"/>
          <w:sz w:val="24"/>
          <w:szCs w:val="24"/>
        </w:rPr>
        <w:t xml:space="preserve">6.4  Konteks Populasi Khusus: ECMO dan Prone Positioning</w:t>
      </w:r>
    </w:p>
    <w:p>
      <w:pPr>
        <w:spacing w:after="200" w:line="320"/>
        <w:jc w:val="both"/>
      </w:pPr>
      <w:r>
        <w:rPr>
          <w:rFonts w:ascii="Calibri" w:cs="Calibri" w:eastAsia="Calibri" w:hAnsi="Calibri"/>
          <w:i w:val="false"/>
          <w:iCs w:val="false"/>
          <w:color w:val="0F172A"/>
          <w:sz w:val="22"/>
          <w:szCs w:val="22"/>
        </w:rPr>
        <w:t xml:space="preserve">Pada populasi ARDS berat yang membutuhkan dukungan extracorporeal membrane oxygenation (ECMO), MP tetap menjadi determinan penting luaran meski parameter ventilator secara konvensional sudah diturunkan drastis; sejumlah kelompok riset saat ini tengah menjalankan uji klinis acak dengan target MP rendah spesifik pada populasi VV-ECMO. Demikian pula, MP yang diukur selama prone positioning dilaporkan memiliki nilai prediktif terhadap mortalitas, menegaskan bahwa strategi non-farmakologis seperti positioning tetap perlu dipertimbangkan dalam kerangka manajemen beban energi ventilasi secara keseluruhan.</w:t>
      </w:r>
    </w:p>
    <w:p>
      <w:pPr>
        <w:pStyle w:val="Heading1"/>
        <w:pBdr>
          <w:bottom w:val="single" w:color="4F46E5" w:sz="12" w:space="6"/>
        </w:pBdr>
        <w:spacing w:after="240" w:before="480"/>
      </w:pPr>
      <w:r>
        <w:rPr>
          <w:rFonts w:ascii="Calibri" w:cs="Calibri" w:eastAsia="Calibri" w:hAnsi="Calibri"/>
          <w:b/>
          <w:bCs/>
          <w:color w:val="4F46E5"/>
          <w:sz w:val="32"/>
          <w:szCs w:val="32"/>
        </w:rPr>
        <w:t xml:space="preserve">7  </w:t>
      </w:r>
      <w:r>
        <w:rPr>
          <w:rFonts w:ascii="Calibri" w:cs="Calibri" w:eastAsia="Calibri" w:hAnsi="Calibri"/>
          <w:b/>
          <w:bCs/>
          <w:color w:val="0F172A"/>
          <w:sz w:val="32"/>
          <w:szCs w:val="32"/>
        </w:rPr>
        <w:t xml:space="preserve">Arah Masa Depan: Teknologi dan Individualisasi</w:t>
      </w:r>
    </w:p>
    <w:p>
      <w:pPr>
        <w:spacing w:after="200" w:line="320"/>
        <w:jc w:val="both"/>
      </w:pPr>
      <w:r>
        <w:rPr>
          <w:rFonts w:ascii="Calibri" w:cs="Calibri" w:eastAsia="Calibri" w:hAnsi="Calibri"/>
          <w:i w:val="false"/>
          <w:iCs w:val="false"/>
          <w:color w:val="0F172A"/>
          <w:sz w:val="22"/>
          <w:szCs w:val="22"/>
        </w:rPr>
        <w:t xml:space="preserve">Tinjauan naratif oleh Pasledni dan kolega menggarisbawahi peran teknologi closed-loop ventilation dan model prediksi berbasis kecerdasan buatan (AI) sebagai jembatan antara konsep MP yang kompleks secara matematis dengan aplikasi praktis di samping tempat tidur. Model prediktif real-time berbasis data kontinu berpotensi memberi peringatan dini ketika MP mendekati ambang berisiko, sekaligus mengintegrasikan normalisasi terhadap ukuran paru fungsional secara otomatis — mengurangi beban kognitif dan komputasi yang selama ini menjadi hambatan utama adopsi MP di klinik.</w:t>
      </w:r>
    </w:p>
    <w:p>
      <w:pPr>
        <w:spacing w:after="200" w:line="320"/>
        <w:jc w:val="both"/>
      </w:pPr>
      <w:r>
        <w:rPr>
          <w:rFonts w:ascii="Calibri" w:cs="Calibri" w:eastAsia="Calibri" w:hAnsi="Calibri"/>
          <w:i w:val="false"/>
          <w:iCs w:val="false"/>
          <w:color w:val="0F172A"/>
          <w:sz w:val="22"/>
          <w:szCs w:val="22"/>
        </w:rPr>
        <w:t xml:space="preserve">Ke depan, arah riset tampak bergeser dari pertanyaan “berapa ambang MP yang aman” menuju “bagaimana individualisasi target ventilasi berdasarkan fenotipe paru, compliance, dan trajektori pemulihan tiap pasien” — sejalan dengan paradigma precision medicine yang semakin dominan dalam critical care secara umum.</w:t>
      </w:r>
    </w:p>
    <w:p>
      <w:pPr>
        <w:pStyle w:val="Heading1"/>
        <w:pBdr>
          <w:bottom w:val="single" w:color="4F46E5" w:sz="12" w:space="6"/>
        </w:pBdr>
        <w:spacing w:after="240" w:before="480"/>
      </w:pPr>
      <w:r>
        <w:rPr>
          <w:rFonts w:ascii="Calibri" w:cs="Calibri" w:eastAsia="Calibri" w:hAnsi="Calibri"/>
          <w:b/>
          <w:bCs/>
          <w:color w:val="4F46E5"/>
          <w:sz w:val="32"/>
          <w:szCs w:val="32"/>
        </w:rPr>
        <w:t xml:space="preserve">8  </w:t>
      </w:r>
      <w:r>
        <w:rPr>
          <w:rFonts w:ascii="Calibri" w:cs="Calibri" w:eastAsia="Calibri" w:hAnsi="Calibri"/>
          <w:b/>
          <w:bCs/>
          <w:color w:val="0F172A"/>
          <w:sz w:val="32"/>
          <w:szCs w:val="32"/>
        </w:rPr>
        <w:t xml:space="preserve">Kesimpulan dan Butir Penting untuk Praktik Klinis</w:t>
      </w:r>
    </w:p>
    <w:p>
      <w:pPr>
        <w:pStyle w:val="ListParagraph"/>
        <w:numPr>
          <w:ilvl w:val="0"/>
          <w:numId w:val="3"/>
        </w:numPr>
        <w:spacing w:after="120" w:line="300"/>
      </w:pPr>
      <w:r>
        <w:rPr>
          <w:rFonts w:ascii="Calibri" w:cs="Calibri" w:eastAsia="Calibri" w:hAnsi="Calibri"/>
          <w:color w:val="0F172A"/>
          <w:sz w:val="22"/>
          <w:szCs w:val="22"/>
        </w:rPr>
        <w:t xml:space="preserve">Mechanical power adalah kerangka fisiologis yang berguna untuk memahami beban energi ventilasi secara terintegrasi, namun bukti terkini tidak mendukung penggunaannya sebagai target terapi numerik tunggal.</w:t>
      </w:r>
    </w:p>
    <w:p>
      <w:pPr>
        <w:pStyle w:val="ListParagraph"/>
        <w:numPr>
          <w:ilvl w:val="0"/>
          <w:numId w:val="3"/>
        </w:numPr>
        <w:spacing w:after="120" w:line="300"/>
      </w:pPr>
      <w:r>
        <w:rPr>
          <w:rFonts w:ascii="Calibri" w:cs="Calibri" w:eastAsia="Calibri" w:hAnsi="Calibri"/>
          <w:color w:val="0F172A"/>
          <w:sz w:val="22"/>
          <w:szCs w:val="22"/>
        </w:rPr>
        <w:t xml:space="preserve">Driving pressure tetap menjadi parameter yang paling konsisten terbukti sebagai prediktor independen mortalitas dan paling praktis dihitung di samping tempat tidur.</w:t>
      </w:r>
    </w:p>
    <w:p>
      <w:pPr>
        <w:pStyle w:val="ListParagraph"/>
        <w:numPr>
          <w:ilvl w:val="0"/>
          <w:numId w:val="3"/>
        </w:numPr>
        <w:spacing w:after="120" w:line="300"/>
      </w:pPr>
      <w:r>
        <w:rPr>
          <w:rFonts w:ascii="Calibri" w:cs="Calibri" w:eastAsia="Calibri" w:hAnsi="Calibri"/>
          <w:color w:val="0F172A"/>
          <w:sz w:val="22"/>
          <w:szCs w:val="22"/>
        </w:rPr>
        <w:t xml:space="preserve">Normalisasi MP terhadap ukuran paru fungsional (predicted body weight, compliance, atau EELV) secara konsisten memperbaiki nilai prognostik dibandingkan MP absolut.</w:t>
      </w:r>
    </w:p>
    <w:p>
      <w:pPr>
        <w:pStyle w:val="ListParagraph"/>
        <w:numPr>
          <w:ilvl w:val="0"/>
          <w:numId w:val="3"/>
        </w:numPr>
        <w:spacing w:after="120" w:line="300"/>
      </w:pPr>
      <w:r>
        <w:rPr>
          <w:rFonts w:ascii="Calibri" w:cs="Calibri" w:eastAsia="Calibri" w:hAnsi="Calibri"/>
          <w:color w:val="0F172A"/>
          <w:sz w:val="22"/>
          <w:szCs w:val="22"/>
        </w:rPr>
        <w:t xml:space="preserve">Strategi optimisasi berbasis MP/EIT (titrasi PEEP berpandu EIT, protokol MP-guided seperti VentCoach) menunjukkan sinyal manfaat fisiologis yang konsisten, namun bukti manfaat mortalitas definitif masih menunggu uji klinis skala lebih besar.</w:t>
      </w:r>
    </w:p>
    <w:p>
      <w:pPr>
        <w:pStyle w:val="ListParagraph"/>
        <w:numPr>
          <w:ilvl w:val="0"/>
          <w:numId w:val="3"/>
        </w:numPr>
        <w:spacing w:after="120" w:line="300"/>
      </w:pPr>
      <w:r>
        <w:rPr>
          <w:rFonts w:ascii="Calibri" w:cs="Calibri" w:eastAsia="Calibri" w:hAnsi="Calibri"/>
          <w:color w:val="0F172A"/>
          <w:sz w:val="22"/>
          <w:szCs w:val="22"/>
        </w:rPr>
        <w:t xml:space="preserve">Strategi baru yang menjanjikan secara fisiologis (seperti flow-controlled ventilation) tetap memerlukan evaluasi keamanan yang cermat sebelum diadopsi secara luas.</w:t>
      </w:r>
    </w:p>
    <w:p>
      <w:pPr>
        <w:spacing w:after="60"/>
      </w:pPr>
    </w:p>
    <w:tbl>
      <w:tblPr>
        <w:tblW w:type="pct" w:w="100%"/>
        <w:tblBorders>
          <w:top w:val="single" w:color="EEF2FF" w:sz="4"/>
          <w:left w:val="single" w:color="4F46E5" w:sz="24"/>
          <w:bottom w:val="single" w:color="EEF2FF" w:sz="4"/>
          <w:right w:val="single" w:color="EEF2FF" w:sz="4"/>
          <w:insideH w:val="none" w:color="EEF2FF" w:sz="0"/>
          <w:insideV w:val="none" w:color="EEF2FF" w:sz="0"/>
        </w:tblBorders>
      </w:tblPr>
      <w:tblGrid>
        <w:gridCol w:w="9350"/>
      </w:tblGrid>
      <w:tr>
        <w:tc>
          <w:tcPr>
            <w:tcW w:type="pct" w:w="100%"/>
            <w:shd w:fill="EEF2FF" w:color="auto" w:val="clear"/>
            <w:tcMar>
              <w:top w:type="dxa" w:w="160"/>
              <w:left w:type="dxa" w:w="260"/>
              <w:bottom w:type="dxa" w:w="160"/>
              <w:right w:type="dxa" w:w="260"/>
            </w:tcMar>
          </w:tcPr>
          <w:p>
            <w:pPr>
              <w:spacing w:after="80"/>
            </w:pPr>
            <w:r>
              <w:rPr>
                <w:rFonts w:ascii="Calibri" w:cs="Calibri" w:eastAsia="Calibri" w:hAnsi="Calibri"/>
                <w:b/>
                <w:bCs/>
                <w:color w:val="4F46E5"/>
                <w:sz w:val="21"/>
                <w:szCs w:val="21"/>
              </w:rPr>
              <w:t xml:space="preserve">Pesan penutup</w:t>
            </w:r>
          </w:p>
          <w:p>
            <w:pPr>
              <w:spacing w:after="0" w:line="300"/>
            </w:pPr>
            <w:r>
              <w:rPr>
                <w:rFonts w:ascii="Calibri" w:cs="Calibri" w:eastAsia="Calibri" w:hAnsi="Calibri"/>
                <w:color w:val="0F172A"/>
                <w:sz w:val="21"/>
                <w:szCs w:val="21"/>
              </w:rPr>
              <w:t xml:space="preserve">Mechanical power sebaiknya dipandang sebagai deskriptor kontekstual beban ventilasi residual — bukan sebagai target terapeutik berdiri sendiri — yang penggunaannya paling bermakna ketika dikombinasikan dengan penilaian klinis menyeluruh terhadap patofisiologi paru yang mendasari setiap pasien.</w:t>
            </w:r>
          </w:p>
        </w:tc>
      </w:tr>
    </w:tbl>
    <w:p>
      <w:r>
        <w:br w:type="page"/>
      </w:r>
    </w:p>
    <w:p>
      <w:pPr>
        <w:pStyle w:val="Heading1"/>
        <w:spacing w:after="280"/>
      </w:pPr>
      <w:r>
        <w:rPr>
          <w:rFonts w:ascii="Calibri" w:cs="Calibri" w:eastAsia="Calibri" w:hAnsi="Calibri"/>
          <w:b/>
          <w:bCs/>
          <w:color w:val="0F172A"/>
          <w:sz w:val="32"/>
          <w:szCs w:val="32"/>
        </w:rPr>
        <w:t xml:space="preserve">Daftar Pustaka</w:t>
      </w:r>
    </w:p>
    <w:p>
      <w:pPr>
        <w:spacing w:after="140" w:line="280"/>
        <w:ind w:left="420" w:hanging="420"/>
      </w:pPr>
      <w:r>
        <w:rPr>
          <w:rFonts w:ascii="Calibri" w:cs="Calibri" w:eastAsia="Calibri" w:hAnsi="Calibri"/>
          <w:b/>
          <w:bCs/>
          <w:color w:val="4F46E5"/>
          <w:sz w:val="19"/>
          <w:szCs w:val="19"/>
        </w:rPr>
        <w:t xml:space="preserve">[1]  </w:t>
      </w:r>
      <w:r>
        <w:rPr>
          <w:rFonts w:ascii="Calibri" w:cs="Calibri" w:eastAsia="Calibri" w:hAnsi="Calibri"/>
          <w:color w:val="475569"/>
          <w:sz w:val="19"/>
          <w:szCs w:val="19"/>
        </w:rPr>
        <w:t xml:space="preserve">Pasledni R, Urbankowski T, Darowski M. The role of mechanical power in lung ventilation for the prevention of ventilator-induced lung injury: a narrative review. Eur Respir Rev. 2026;35:250283.</w:t>
      </w:r>
    </w:p>
    <w:p>
      <w:pPr>
        <w:spacing w:after="140" w:line="280"/>
        <w:ind w:left="420" w:hanging="420"/>
      </w:pPr>
      <w:r>
        <w:rPr>
          <w:rFonts w:ascii="Calibri" w:cs="Calibri" w:eastAsia="Calibri" w:hAnsi="Calibri"/>
          <w:b/>
          <w:bCs/>
          <w:color w:val="4F46E5"/>
          <w:sz w:val="19"/>
          <w:szCs w:val="19"/>
        </w:rPr>
        <w:t xml:space="preserve">[2]  </w:t>
      </w:r>
      <w:r>
        <w:rPr>
          <w:rFonts w:ascii="Calibri" w:cs="Calibri" w:eastAsia="Calibri" w:hAnsi="Calibri"/>
          <w:color w:val="475569"/>
          <w:sz w:val="19"/>
          <w:szCs w:val="19"/>
        </w:rPr>
        <w:t xml:space="preserve">Nieman GF, Araos J, Satalin J, Andrews P, Habashi N. Mechanical Power and Driving Pressure: Mechanisms of Lung Injury, Markers of Pathophysiology, or Therapeutic Targets? J Clin Med. 2025.</w:t>
      </w:r>
    </w:p>
    <w:p>
      <w:pPr>
        <w:spacing w:after="140" w:line="280"/>
        <w:ind w:left="420" w:hanging="420"/>
      </w:pPr>
      <w:r>
        <w:rPr>
          <w:rFonts w:ascii="Calibri" w:cs="Calibri" w:eastAsia="Calibri" w:hAnsi="Calibri"/>
          <w:b/>
          <w:bCs/>
          <w:color w:val="4F46E5"/>
          <w:sz w:val="19"/>
          <w:szCs w:val="19"/>
        </w:rPr>
        <w:t xml:space="preserve">[3]  </w:t>
      </w:r>
      <w:r>
        <w:rPr>
          <w:rFonts w:ascii="Calibri" w:cs="Calibri" w:eastAsia="Calibri" w:hAnsi="Calibri"/>
          <w:color w:val="475569"/>
          <w:sz w:val="19"/>
          <w:szCs w:val="19"/>
        </w:rPr>
        <w:t xml:space="preserve">Zheng C, Abdulla SW, Bauer PR, Rocco PRM, Marini JJ, Oeckler RA, Cortes-Puentes GA. Mechanical power guided lung protective ventilation in acute respiratory failure using the VentCoach approach. Sci Rep. 2026;16:9786.</w:t>
      </w:r>
    </w:p>
    <w:p>
      <w:pPr>
        <w:spacing w:after="140" w:line="280"/>
        <w:ind w:left="420" w:hanging="420"/>
      </w:pPr>
      <w:r>
        <w:rPr>
          <w:rFonts w:ascii="Calibri" w:cs="Calibri" w:eastAsia="Calibri" w:hAnsi="Calibri"/>
          <w:b/>
          <w:bCs/>
          <w:color w:val="4F46E5"/>
          <w:sz w:val="19"/>
          <w:szCs w:val="19"/>
        </w:rPr>
        <w:t xml:space="preserve">[4]  </w:t>
      </w:r>
      <w:r>
        <w:rPr>
          <w:rFonts w:ascii="Calibri" w:cs="Calibri" w:eastAsia="Calibri" w:hAnsi="Calibri"/>
          <w:color w:val="475569"/>
          <w:sz w:val="19"/>
          <w:szCs w:val="19"/>
        </w:rPr>
        <w:t xml:space="preserve">Alkhalifah AS, Rumindo K, Brincat E, Blanchard F, Helleberg J, Clarke D, et al. Optimizing mechanical ventilation: Personalizing mechanical power to reduce ICU mortality - a retrospective cohort study. PLoS One. 2025;20(2):e0318018.</w:t>
      </w:r>
    </w:p>
    <w:p>
      <w:pPr>
        <w:spacing w:after="140" w:line="280"/>
        <w:ind w:left="420" w:hanging="420"/>
      </w:pPr>
      <w:r>
        <w:rPr>
          <w:rFonts w:ascii="Calibri" w:cs="Calibri" w:eastAsia="Calibri" w:hAnsi="Calibri"/>
          <w:b/>
          <w:bCs/>
          <w:color w:val="4F46E5"/>
          <w:sz w:val="19"/>
          <w:szCs w:val="19"/>
        </w:rPr>
        <w:t xml:space="preserve">[5]  </w:t>
      </w:r>
      <w:r>
        <w:rPr>
          <w:rFonts w:ascii="Calibri" w:cs="Calibri" w:eastAsia="Calibri" w:hAnsi="Calibri"/>
          <w:color w:val="475569"/>
          <w:sz w:val="19"/>
          <w:szCs w:val="19"/>
        </w:rPr>
        <w:t xml:space="preserve">Van Trung D, Thi Huong Giang B, Quoc Tuan D, et al. The impact of PEEP-guided electrical impedance tomography on oxygenation and respiratory mechanics in moderate-to-severe ARDS: a randomized controlled trial. Sci Rep. 2026;16:391.</w:t>
      </w:r>
    </w:p>
    <w:p>
      <w:pPr>
        <w:spacing w:after="140" w:line="280"/>
        <w:ind w:left="420" w:hanging="420"/>
      </w:pPr>
      <w:r>
        <w:rPr>
          <w:rFonts w:ascii="Calibri" w:cs="Calibri" w:eastAsia="Calibri" w:hAnsi="Calibri"/>
          <w:b/>
          <w:bCs/>
          <w:color w:val="4F46E5"/>
          <w:sz w:val="19"/>
          <w:szCs w:val="19"/>
        </w:rPr>
        <w:t xml:space="preserve">[6]  </w:t>
      </w:r>
      <w:r>
        <w:rPr>
          <w:rFonts w:ascii="Calibri" w:cs="Calibri" w:eastAsia="Calibri" w:hAnsi="Calibri"/>
          <w:color w:val="475569"/>
          <w:sz w:val="19"/>
          <w:szCs w:val="19"/>
        </w:rPr>
        <w:t xml:space="preserve">Medhi PP, Chaudhuri S, Parampalli V, Devadiga S, Mareguddi AB, Karanth S, Rao S, Srinivas T. Mechanical Power and its Components vs Driving Pressure for Predicting Mortality in Acute Respiratory Distress Syndrome: A Prospective Observational Study. Indian J Crit Care Med. 2025;29(10):815-822.</w:t>
      </w:r>
    </w:p>
    <w:p>
      <w:pPr>
        <w:spacing w:after="140" w:line="280"/>
        <w:ind w:left="420" w:hanging="420"/>
      </w:pPr>
      <w:r>
        <w:rPr>
          <w:rFonts w:ascii="Calibri" w:cs="Calibri" w:eastAsia="Calibri" w:hAnsi="Calibri"/>
          <w:b/>
          <w:bCs/>
          <w:color w:val="4F46E5"/>
          <w:sz w:val="19"/>
          <w:szCs w:val="19"/>
        </w:rPr>
        <w:t xml:space="preserve">[7]  </w:t>
      </w:r>
      <w:r>
        <w:rPr>
          <w:rFonts w:ascii="Calibri" w:cs="Calibri" w:eastAsia="Calibri" w:hAnsi="Calibri"/>
          <w:color w:val="475569"/>
          <w:sz w:val="19"/>
          <w:szCs w:val="19"/>
        </w:rPr>
        <w:t xml:space="preserve">Rahimi P, Asar S, Soylu NB, Yucel Yenice T, Canan E, Cukurova Z. Driving Down Mortality: A 12-Year Retrospective Cohort Analysis of Mechanical Power and Driving Pressure in Ventilated ICU Patients. Medicina. 2025;61:1668.</w:t>
      </w:r>
    </w:p>
    <w:p>
      <w:pPr>
        <w:spacing w:after="140" w:line="280"/>
        <w:ind w:left="420" w:hanging="420"/>
      </w:pPr>
      <w:r>
        <w:rPr>
          <w:rFonts w:ascii="Calibri" w:cs="Calibri" w:eastAsia="Calibri" w:hAnsi="Calibri"/>
          <w:b/>
          <w:bCs/>
          <w:color w:val="4F46E5"/>
          <w:sz w:val="19"/>
          <w:szCs w:val="19"/>
        </w:rPr>
        <w:t xml:space="preserve">[8]  </w:t>
      </w:r>
      <w:r>
        <w:rPr>
          <w:rFonts w:ascii="Calibri" w:cs="Calibri" w:eastAsia="Calibri" w:hAnsi="Calibri"/>
          <w:color w:val="475569"/>
          <w:sz w:val="19"/>
          <w:szCs w:val="19"/>
        </w:rPr>
        <w:t xml:space="preserve">Liu N, Zhang Q, Wang H, Ding R, Geng X, Wang L, Wang Z, Fang M. The effect of target transpulmonary driving pressure values on mortality in ARDS patients: A retrospective study based on the MIMIC-IV database. PLoS One. 2025;20(6):e0326060.</w:t>
      </w:r>
    </w:p>
    <w:p>
      <w:pPr>
        <w:spacing w:after="140" w:line="280"/>
        <w:ind w:left="420" w:hanging="420"/>
      </w:pPr>
      <w:r>
        <w:rPr>
          <w:rFonts w:ascii="Calibri" w:cs="Calibri" w:eastAsia="Calibri" w:hAnsi="Calibri"/>
          <w:b/>
          <w:bCs/>
          <w:color w:val="4F46E5"/>
          <w:sz w:val="19"/>
          <w:szCs w:val="19"/>
        </w:rPr>
        <w:t xml:space="preserve">[9]  </w:t>
      </w:r>
      <w:r>
        <w:rPr>
          <w:rFonts w:ascii="Calibri" w:cs="Calibri" w:eastAsia="Calibri" w:hAnsi="Calibri"/>
          <w:color w:val="475569"/>
          <w:sz w:val="19"/>
          <w:szCs w:val="19"/>
        </w:rPr>
        <w:t xml:space="preserve">Cheng J, Ma A, Liang G. Driving pressure-limited ventilation strategies versus conventional lung protective ventilation strategies for patients with ARDS/ARF: a systematic review and meta-analysis of randomized controlled trials. Crit Care. 2025;29:515.</w:t>
      </w:r>
    </w:p>
    <w:p>
      <w:pPr>
        <w:spacing w:after="140" w:line="280"/>
        <w:ind w:left="420" w:hanging="420"/>
      </w:pPr>
      <w:r>
        <w:rPr>
          <w:rFonts w:ascii="Calibri" w:cs="Calibri" w:eastAsia="Calibri" w:hAnsi="Calibri"/>
          <w:b/>
          <w:bCs/>
          <w:color w:val="4F46E5"/>
          <w:sz w:val="19"/>
          <w:szCs w:val="19"/>
        </w:rPr>
        <w:t xml:space="preserve">[10]  </w:t>
      </w:r>
      <w:r>
        <w:rPr>
          <w:rFonts w:ascii="Calibri" w:cs="Calibri" w:eastAsia="Calibri" w:hAnsi="Calibri"/>
          <w:color w:val="475569"/>
          <w:sz w:val="19"/>
          <w:szCs w:val="19"/>
        </w:rPr>
        <w:t xml:space="preserve">Van Oosten JP, Francovich JE, Weller D, Rietdijk W, Goedendorp N, Somhorst P, den Uil CA, Gommers D, Jonkman AH, Endeman H. Flow-controlled ventilation versus pressure-controlled ventilation in moderate to severe ARDS patients: a randomized crossover physiological study. Intensive Care Med Exp. 2025;13:137.</w:t>
      </w:r>
    </w:p>
    <w:p>
      <w:pPr>
        <w:spacing w:after="140" w:line="280"/>
        <w:ind w:left="420" w:hanging="420"/>
      </w:pPr>
      <w:r>
        <w:rPr>
          <w:rFonts w:ascii="Calibri" w:cs="Calibri" w:eastAsia="Calibri" w:hAnsi="Calibri"/>
          <w:b/>
          <w:bCs/>
          <w:color w:val="4F46E5"/>
          <w:sz w:val="19"/>
          <w:szCs w:val="19"/>
        </w:rPr>
        <w:t xml:space="preserve">[11]  </w:t>
      </w:r>
      <w:r>
        <w:rPr>
          <w:rFonts w:ascii="Calibri" w:cs="Calibri" w:eastAsia="Calibri" w:hAnsi="Calibri"/>
          <w:color w:val="475569"/>
          <w:sz w:val="19"/>
          <w:szCs w:val="19"/>
        </w:rPr>
        <w:t xml:space="preserve">LeTourneau WM, Gallo De Moraes A. Mechanical Power: Using Ideal Body Weight to Identify Injurious Mechanical Ventilation Thresholds. Respir Care. 2025;70:1053-1061.</w:t>
      </w:r>
    </w:p>
    <w:p>
      <w:pPr>
        <w:spacing w:after="140" w:line="280"/>
        <w:ind w:left="420" w:hanging="420"/>
      </w:pPr>
      <w:r>
        <w:rPr>
          <w:rFonts w:ascii="Calibri" w:cs="Calibri" w:eastAsia="Calibri" w:hAnsi="Calibri"/>
          <w:b/>
          <w:bCs/>
          <w:color w:val="4F46E5"/>
          <w:sz w:val="19"/>
          <w:szCs w:val="19"/>
        </w:rPr>
        <w:t xml:space="preserve">[12]  </w:t>
      </w:r>
      <w:r>
        <w:rPr>
          <w:rFonts w:ascii="Calibri" w:cs="Calibri" w:eastAsia="Calibri" w:hAnsi="Calibri"/>
          <w:color w:val="475569"/>
          <w:sz w:val="19"/>
          <w:szCs w:val="19"/>
        </w:rPr>
        <w:t xml:space="preserve">LeTourneau WM, Cortes Puentes GA, Oeckler RA. 2025 Year in Review—Mechanical Power. Respir Care. 2026.</w:t>
      </w:r>
    </w:p>
    <w:p>
      <w:pPr>
        <w:spacing w:after="140" w:line="280"/>
        <w:ind w:left="420" w:hanging="420"/>
      </w:pPr>
      <w:r>
        <w:rPr>
          <w:rFonts w:ascii="Calibri" w:cs="Calibri" w:eastAsia="Calibri" w:hAnsi="Calibri"/>
          <w:b/>
          <w:bCs/>
          <w:color w:val="4F46E5"/>
          <w:sz w:val="19"/>
          <w:szCs w:val="19"/>
        </w:rPr>
        <w:t xml:space="preserve">[13]  </w:t>
      </w:r>
      <w:r>
        <w:rPr>
          <w:rFonts w:ascii="Calibri" w:cs="Calibri" w:eastAsia="Calibri" w:hAnsi="Calibri"/>
          <w:color w:val="475569"/>
          <w:sz w:val="19"/>
          <w:szCs w:val="19"/>
        </w:rPr>
        <w:t xml:space="preserve">Zhang Z, Zheng B, Liu N, Ge H, Hong Y. Mechanical power normalized to predicted body weight as a predictor of mortality in patients with acute respiratory distress syndrome. Intensive Care Med. 2019;45:856-864.</w:t>
      </w:r>
    </w:p>
    <w:p>
      <w:pPr>
        <w:spacing w:after="140" w:line="280"/>
        <w:ind w:left="420" w:hanging="420"/>
      </w:pPr>
      <w:r>
        <w:rPr>
          <w:rFonts w:ascii="Calibri" w:cs="Calibri" w:eastAsia="Calibri" w:hAnsi="Calibri"/>
          <w:b/>
          <w:bCs/>
          <w:color w:val="4F46E5"/>
          <w:sz w:val="19"/>
          <w:szCs w:val="19"/>
        </w:rPr>
        <w:t xml:space="preserve">[14]  </w:t>
      </w:r>
      <w:r>
        <w:rPr>
          <w:rFonts w:ascii="Calibri" w:cs="Calibri" w:eastAsia="Calibri" w:hAnsi="Calibri"/>
          <w:color w:val="475569"/>
          <w:sz w:val="19"/>
          <w:szCs w:val="19"/>
        </w:rPr>
        <w:t xml:space="preserve">Coppola S, Caccioppola A, Froio S, et al. Effect of mechanical power on intensive care mortality in ARDS patients. Crit Care. 2020;24:246.</w:t>
      </w:r>
    </w:p>
    <w:p>
      <w:pPr>
        <w:spacing w:after="140" w:line="280"/>
        <w:ind w:left="420" w:hanging="420"/>
      </w:pPr>
      <w:r>
        <w:rPr>
          <w:rFonts w:ascii="Calibri" w:cs="Calibri" w:eastAsia="Calibri" w:hAnsi="Calibri"/>
          <w:b/>
          <w:bCs/>
          <w:color w:val="4F46E5"/>
          <w:sz w:val="19"/>
          <w:szCs w:val="19"/>
        </w:rPr>
        <w:t xml:space="preserve">[15]  </w:t>
      </w:r>
      <w:r>
        <w:rPr>
          <w:rFonts w:ascii="Calibri" w:cs="Calibri" w:eastAsia="Calibri" w:hAnsi="Calibri"/>
          <w:color w:val="475569"/>
          <w:sz w:val="19"/>
          <w:szCs w:val="19"/>
        </w:rPr>
        <w:t xml:space="preserve">López Fermin J, Zamora Guevara IS, Alfaro López CI, et al. Mechanical Power in ARDS: Hand in Hand With Gattinoni. ICU Management &amp; Practice. 2025;25(2).</w:t>
      </w:r>
    </w:p>
    <w:p>
      <w:pPr>
        <w:spacing w:after="140" w:line="280"/>
        <w:ind w:left="420" w:hanging="420"/>
      </w:pPr>
      <w:r>
        <w:rPr>
          <w:rFonts w:ascii="Calibri" w:cs="Calibri" w:eastAsia="Calibri" w:hAnsi="Calibri"/>
          <w:b/>
          <w:bCs/>
          <w:color w:val="4F46E5"/>
          <w:sz w:val="19"/>
          <w:szCs w:val="19"/>
        </w:rPr>
        <w:t xml:space="preserve">[16]  </w:t>
      </w:r>
      <w:r>
        <w:rPr>
          <w:rFonts w:ascii="Calibri" w:cs="Calibri" w:eastAsia="Calibri" w:hAnsi="Calibri"/>
          <w:color w:val="475569"/>
          <w:sz w:val="19"/>
          <w:szCs w:val="19"/>
        </w:rPr>
        <w:t xml:space="preserve">Gattinoni L, Tonetti T, Cressoni M, et al. Ventilator-related causes of lung injury: the mechanical power. Intensive Care Med. 2016;42:1567-1575.</w:t>
      </w:r>
    </w:p>
    <w:p>
      <w:pPr>
        <w:spacing w:after="140" w:line="280"/>
        <w:ind w:left="420" w:hanging="420"/>
      </w:pPr>
      <w:r>
        <w:rPr>
          <w:rFonts w:ascii="Calibri" w:cs="Calibri" w:eastAsia="Calibri" w:hAnsi="Calibri"/>
          <w:b/>
          <w:bCs/>
          <w:color w:val="4F46E5"/>
          <w:sz w:val="19"/>
          <w:szCs w:val="19"/>
        </w:rPr>
        <w:t xml:space="preserve">[17]  </w:t>
      </w:r>
      <w:r>
        <w:rPr>
          <w:rFonts w:ascii="Calibri" w:cs="Calibri" w:eastAsia="Calibri" w:hAnsi="Calibri"/>
          <w:color w:val="475569"/>
          <w:sz w:val="19"/>
          <w:szCs w:val="19"/>
        </w:rPr>
        <w:t xml:space="preserve">Amato MBP, Meade MO, Slutsky AS, et al. Driving pressure and survival in the acute respiratory distress syndrome. N Engl J Med. 2015;372:747-755.</w:t>
      </w:r>
    </w:p>
    <w:p>
      <w:pPr>
        <w:spacing w:after="140" w:line="280"/>
        <w:ind w:left="420" w:hanging="420"/>
      </w:pPr>
      <w:r>
        <w:rPr>
          <w:rFonts w:ascii="Calibri" w:cs="Calibri" w:eastAsia="Calibri" w:hAnsi="Calibri"/>
          <w:b/>
          <w:bCs/>
          <w:color w:val="4F46E5"/>
          <w:sz w:val="19"/>
          <w:szCs w:val="19"/>
        </w:rPr>
        <w:t xml:space="preserve">[18]  </w:t>
      </w:r>
      <w:r>
        <w:rPr>
          <w:rFonts w:ascii="Calibri" w:cs="Calibri" w:eastAsia="Calibri" w:hAnsi="Calibri"/>
          <w:color w:val="475569"/>
          <w:sz w:val="19"/>
          <w:szCs w:val="19"/>
        </w:rPr>
        <w:t xml:space="preserve">Brower RG, Matthay MA, Morris A, et al. Ventilation with lower tidal volumes as compared with traditional tidal volumes for acute lung injury and the acute respiratory distress syndrome. N Engl J Med. 2000;342:1301-1308.</w:t>
      </w:r>
    </w:p>
    <w:p>
      <w:pPr>
        <w:spacing w:after="140" w:line="280"/>
        <w:ind w:left="420" w:hanging="420"/>
      </w:pPr>
      <w:r>
        <w:rPr>
          <w:rFonts w:ascii="Calibri" w:cs="Calibri" w:eastAsia="Calibri" w:hAnsi="Calibri"/>
          <w:b/>
          <w:bCs/>
          <w:color w:val="4F46E5"/>
          <w:sz w:val="19"/>
          <w:szCs w:val="19"/>
        </w:rPr>
        <w:t xml:space="preserve">[19]  </w:t>
      </w:r>
      <w:r>
        <w:rPr>
          <w:rFonts w:ascii="Calibri" w:cs="Calibri" w:eastAsia="Calibri" w:hAnsi="Calibri"/>
          <w:color w:val="475569"/>
          <w:sz w:val="19"/>
          <w:szCs w:val="19"/>
        </w:rPr>
        <w:t xml:space="preserve">Khorasanee R, Sanderson B, Tomarchio E, et al. Mechanical power normalisation methods to predict ICU mortality: a retrospective cohort study. Ann Intensive Care. 2025;15:149.</w:t>
      </w:r>
    </w:p>
    <w:p>
      <w:pPr>
        <w:spacing w:after="140" w:line="280"/>
        <w:ind w:left="420" w:hanging="420"/>
      </w:pPr>
      <w:r>
        <w:rPr>
          <w:rFonts w:ascii="Calibri" w:cs="Calibri" w:eastAsia="Calibri" w:hAnsi="Calibri"/>
          <w:b/>
          <w:bCs/>
          <w:color w:val="4F46E5"/>
          <w:sz w:val="19"/>
          <w:szCs w:val="19"/>
        </w:rPr>
        <w:t xml:space="preserve">[20]  </w:t>
      </w:r>
      <w:r>
        <w:rPr>
          <w:rFonts w:ascii="Calibri" w:cs="Calibri" w:eastAsia="Calibri" w:hAnsi="Calibri"/>
          <w:color w:val="475569"/>
          <w:sz w:val="19"/>
          <w:szCs w:val="19"/>
        </w:rPr>
        <w:t xml:space="preserve">Total Lung Protective Ventilation in VV-ECMO Patients With Severe ARDS. ClinicalTrials.gov Identifier: NCT07790133.</w:t>
      </w:r>
    </w:p>
    <w:sectPr>
      <w:headerReference w:type="default" r:id="rId7"/>
      <w:footerReference w:type="default" r:id="rId8"/>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475569"/>
        <w:sz w:val="16"/>
        <w:szCs w:val="16"/>
      </w:rPr>
      <w:t xml:space="preserve">Halaman </w:t>
    </w:r>
    <w:r>
      <w:rPr>
        <w:rFonts w:ascii="Calibri" w:cs="Calibri" w:eastAsia="Calibri" w:hAnsi="Calibri"/>
        <w:color w:val="475569"/>
        <w:sz w:val="16"/>
        <w:szCs w:val="16"/>
      </w:rPr>
      <w:fldChar w:fldCharType="begin"/>
      <w:instrText xml:space="preserve">PAGE</w:instrText>
      <w:fldChar w:fldCharType="separate"/>
      <w:fldChar w:fldCharType="end"/>
    </w:r>
    <w:r>
      <w:rPr>
        <w:rFonts w:ascii="Calibri" w:cs="Calibri" w:eastAsia="Calibri" w:hAnsi="Calibri"/>
        <w:color w:val="475569"/>
        <w:sz w:val="16"/>
        <w:szCs w:val="16"/>
      </w:rPr>
      <w:t xml:space="preserve"> dari </w:t>
    </w:r>
    <w:r>
      <w:rPr>
        <w:rFonts w:ascii="Calibri" w:cs="Calibri" w:eastAsia="Calibri" w:hAnsi="Calibri"/>
        <w:color w:val="47556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2E8F0" w:sz="4" w:space="4"/>
      </w:pBdr>
      <w:tabs>
        <w:tab w:val="right" w:pos="9026"/>
      </w:tabs>
    </w:pPr>
    <w:r>
      <w:rPr>
        <w:rFonts w:ascii="Calibri" w:cs="Calibri" w:eastAsia="Calibri" w:hAnsi="Calibri"/>
        <w:color w:val="475569"/>
        <w:sz w:val="16"/>
        <w:szCs w:val="16"/>
      </w:rPr>
      <w:t xml:space="preserve">MCCM 2026 — Mechanical Power in ARDS</w:t>
    </w:r>
    <w:r>
      <w:rPr>
        <w:rFonts w:ascii="Calibri" w:cs="Calibri" w:eastAsia="Calibri" w:hAnsi="Calibri"/>
        <w:color w:val="475569"/>
        <w:sz w:val="16"/>
        <w:szCs w:val="16"/>
      </w:rPr>
      <w:t xml:space="preserve">	Impact and Optimization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rPr>
        <w:color w:val="4F46E5"/>
      </w:rPr>
    </w:lvl>
  </w:abstractNum>
  <w:abstractNum w:abstractNumId="3" w15:restartNumberingAfterBreak="0">
    <w:multiLevelType w:val="hybridMultilevel"/>
    <w:lvl w:ilvl="0" w15:tentative="1">
      <w:start w:val="1"/>
      <w:numFmt w:val="decimal"/>
      <w:lvlText w:val="%1."/>
      <w:lvlJc w:val="left"/>
      <w:pPr>
        <w:ind w:left="500" w:hanging="32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F172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2026-09-03T20:49:40.600Z</dcterms:created>
  <dcterms:modified xsi:type="dcterms:W3CDTF">2026-09-03T20:49:40.619Z</dcterms:modified>
</cp:coreProperties>
</file>

<file path=docProps/custom.xml><?xml version="1.0" encoding="utf-8"?>
<Properties xmlns="http://schemas.openxmlformats.org/officeDocument/2006/custom-properties" xmlns:vt="http://schemas.openxmlformats.org/officeDocument/2006/docPropsVTypes"/>
</file>